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FC" w:rsidRPr="00DE3501" w:rsidRDefault="009E7BE5" w:rsidP="00243A7C">
      <w:pPr>
        <w:pStyle w:val="a5"/>
        <w:tabs>
          <w:tab w:val="left" w:pos="1977"/>
        </w:tabs>
        <w:spacing w:line="240" w:lineRule="auto"/>
        <w:rPr>
          <w:rFonts w:asciiTheme="minorHAnsi" w:hAnsiTheme="minorHAnsi" w:cs="Times New Roman"/>
          <w:sz w:val="24"/>
          <w:u w:val="single"/>
        </w:rPr>
      </w:pPr>
      <w:r w:rsidRPr="00DE3501">
        <w:rPr>
          <w:rFonts w:asciiTheme="minorHAnsi" w:hAnsiTheme="minorHAnsi" w:cs="Times New Roman"/>
          <w:sz w:val="24"/>
          <w:u w:val="single"/>
        </w:rPr>
        <w:t>1</w:t>
      </w:r>
      <w:r w:rsidR="00C57167" w:rsidRPr="00DE3501">
        <w:rPr>
          <w:rFonts w:asciiTheme="minorHAnsi" w:hAnsiTheme="minorHAnsi" w:cs="Times New Roman"/>
          <w:sz w:val="24"/>
          <w:u w:val="single"/>
        </w:rPr>
        <w:t xml:space="preserve">η </w:t>
      </w:r>
      <w:r w:rsidR="007A11FC" w:rsidRPr="00DE3501">
        <w:rPr>
          <w:rFonts w:asciiTheme="minorHAnsi" w:hAnsiTheme="minorHAnsi" w:cs="Times New Roman"/>
          <w:sz w:val="24"/>
          <w:u w:val="single"/>
        </w:rPr>
        <w:t>ΠΡΟΣΚΛΗΣΗ ΕΚΔΗΛΩΣΗΣ ΕΝΔΙΑΦΕΡΟΝΤΟΣ</w:t>
      </w:r>
    </w:p>
    <w:p w:rsidR="00D62604" w:rsidRPr="00DE3501" w:rsidRDefault="007A11FC" w:rsidP="005A5D9B">
      <w:pPr>
        <w:jc w:val="center"/>
        <w:rPr>
          <w:rFonts w:asciiTheme="minorHAnsi" w:hAnsiTheme="minorHAnsi"/>
          <w:bCs/>
        </w:rPr>
      </w:pPr>
      <w:r w:rsidRPr="00DE3501">
        <w:rPr>
          <w:rFonts w:asciiTheme="minorHAnsi" w:hAnsiTheme="minorHAnsi"/>
          <w:bCs/>
        </w:rPr>
        <w:t>ΓΙΑ ΤΗΝ ΥΠΟΒΟΛΗ ΠΡΟΤΑΣΕΩΝ</w:t>
      </w:r>
      <w:r w:rsidR="009D2817" w:rsidRPr="00DE3501">
        <w:rPr>
          <w:rFonts w:asciiTheme="minorHAnsi" w:hAnsiTheme="minorHAnsi"/>
          <w:bCs/>
        </w:rPr>
        <w:t xml:space="preserve"> (ΠΑΡΕΜΒΑΣΕΙΣ </w:t>
      </w:r>
      <w:r w:rsidR="00C208FF" w:rsidRPr="00DE3501">
        <w:rPr>
          <w:rFonts w:asciiTheme="minorHAnsi" w:hAnsiTheme="minorHAnsi"/>
          <w:bCs/>
        </w:rPr>
        <w:t xml:space="preserve">ΙΔΙΩΤΙΚΟΥ </w:t>
      </w:r>
      <w:r w:rsidR="009D2817" w:rsidRPr="00DE3501">
        <w:rPr>
          <w:rFonts w:asciiTheme="minorHAnsi" w:hAnsiTheme="minorHAnsi"/>
          <w:bCs/>
        </w:rPr>
        <w:t xml:space="preserve">ΧΑΡΑΚΤΗΡΑ) </w:t>
      </w:r>
    </w:p>
    <w:p w:rsidR="00243A7C" w:rsidRPr="00DE3501" w:rsidRDefault="007A11FC" w:rsidP="005A5D9B">
      <w:pPr>
        <w:jc w:val="center"/>
        <w:rPr>
          <w:rFonts w:asciiTheme="minorHAnsi" w:hAnsiTheme="minorHAnsi"/>
          <w:bCs/>
        </w:rPr>
      </w:pPr>
      <w:r w:rsidRPr="00DE3501">
        <w:rPr>
          <w:rFonts w:asciiTheme="minorHAnsi" w:hAnsiTheme="minorHAnsi"/>
          <w:bCs/>
        </w:rPr>
        <w:t>ΣΤΟ Π</w:t>
      </w:r>
      <w:r w:rsidR="00C208FF" w:rsidRPr="00DE3501">
        <w:rPr>
          <w:rFonts w:asciiTheme="minorHAnsi" w:hAnsiTheme="minorHAnsi"/>
          <w:bCs/>
        </w:rPr>
        <w:t xml:space="preserve">ΛΑΙΣΙΟ ΤΩΝ ΤΟΠΙΚΩΝ ΠΡΟΓΡΑΜΜΑΤΩΝ </w:t>
      </w:r>
      <w:r w:rsidR="009E7BE5" w:rsidRPr="00DE3501">
        <w:rPr>
          <w:rFonts w:asciiTheme="minorHAnsi" w:hAnsiTheme="minorHAnsi"/>
          <w:bCs/>
          <w:lang w:val="en-US"/>
        </w:rPr>
        <w:t>CLLD</w:t>
      </w:r>
      <w:r w:rsidRPr="00DE3501">
        <w:rPr>
          <w:rFonts w:asciiTheme="minorHAnsi" w:hAnsiTheme="minorHAnsi"/>
          <w:bCs/>
        </w:rPr>
        <w:t xml:space="preserve"> </w:t>
      </w:r>
      <w:r w:rsidR="00D62604" w:rsidRPr="00DE3501">
        <w:rPr>
          <w:rFonts w:asciiTheme="minorHAnsi" w:hAnsiTheme="minorHAnsi"/>
          <w:bCs/>
        </w:rPr>
        <w:t xml:space="preserve">/ </w:t>
      </w:r>
      <w:r w:rsidRPr="00DE3501">
        <w:rPr>
          <w:rFonts w:asciiTheme="minorHAnsi" w:hAnsiTheme="minorHAnsi"/>
          <w:bCs/>
          <w:lang w:val="en-US"/>
        </w:rPr>
        <w:t>LEADER</w:t>
      </w:r>
      <w:r w:rsidR="009E7BE5" w:rsidRPr="00DE3501">
        <w:rPr>
          <w:rFonts w:asciiTheme="minorHAnsi" w:hAnsiTheme="minorHAnsi"/>
          <w:bCs/>
        </w:rPr>
        <w:t xml:space="preserve"> Ν. ΗΡΑΚΛΕΙΟΥ</w:t>
      </w:r>
      <w:r w:rsidRPr="00DE3501">
        <w:rPr>
          <w:rFonts w:asciiTheme="minorHAnsi" w:hAnsiTheme="minorHAnsi"/>
          <w:bCs/>
        </w:rPr>
        <w:t xml:space="preserve"> </w:t>
      </w:r>
      <w:r w:rsidR="00C208FF" w:rsidRPr="00DE3501">
        <w:rPr>
          <w:rFonts w:asciiTheme="minorHAnsi" w:hAnsiTheme="minorHAnsi"/>
          <w:bCs/>
        </w:rPr>
        <w:t>ΚΑΙ ΜΕΣΑΡΑΣ</w:t>
      </w:r>
    </w:p>
    <w:p w:rsidR="007A11FC" w:rsidRPr="00DE3501" w:rsidRDefault="007A11FC" w:rsidP="005A5D9B">
      <w:pPr>
        <w:jc w:val="center"/>
        <w:rPr>
          <w:rFonts w:asciiTheme="minorHAnsi" w:hAnsiTheme="minorHAnsi"/>
          <w:bCs/>
        </w:rPr>
      </w:pPr>
      <w:r w:rsidRPr="00DE3501">
        <w:rPr>
          <w:rFonts w:asciiTheme="minorHAnsi" w:hAnsiTheme="minorHAnsi"/>
          <w:bCs/>
        </w:rPr>
        <w:t xml:space="preserve">ΤΗΣ </w:t>
      </w:r>
      <w:r w:rsidR="00041DDE" w:rsidRPr="00DE3501">
        <w:rPr>
          <w:rFonts w:asciiTheme="minorHAnsi" w:hAnsiTheme="minorHAnsi"/>
          <w:bCs/>
        </w:rPr>
        <w:t xml:space="preserve">ΟΜΑΔΑΣ ΤΟΠΙΚΗΣ ΔΡΑΣΗΣ </w:t>
      </w:r>
      <w:r w:rsidRPr="00DE3501">
        <w:rPr>
          <w:rFonts w:asciiTheme="minorHAnsi" w:hAnsiTheme="minorHAnsi"/>
          <w:bCs/>
        </w:rPr>
        <w:t xml:space="preserve">ΑΝΑΠΤΥΞΙΑΚΗΣ ΗΡΑΚΛΕΙΟΥ </w:t>
      </w:r>
      <w:r w:rsidR="00243A7C" w:rsidRPr="00DE3501">
        <w:rPr>
          <w:rFonts w:asciiTheme="minorHAnsi" w:hAnsiTheme="minorHAnsi"/>
          <w:bCs/>
        </w:rPr>
        <w:t>Α.Α.Ε. ΟΤΑ</w:t>
      </w:r>
    </w:p>
    <w:p w:rsidR="00BC7E06" w:rsidRPr="00DE3501" w:rsidRDefault="00BC7E06" w:rsidP="007A3A54">
      <w:pPr>
        <w:ind w:right="-28" w:firstLine="720"/>
        <w:jc w:val="both"/>
        <w:rPr>
          <w:rFonts w:asciiTheme="minorHAnsi" w:hAnsiTheme="minorHAnsi"/>
        </w:rPr>
      </w:pPr>
    </w:p>
    <w:p w:rsidR="00A569C2" w:rsidRPr="00DE3501" w:rsidRDefault="00F14ED3" w:rsidP="00C91120">
      <w:pPr>
        <w:tabs>
          <w:tab w:val="num" w:pos="0"/>
          <w:tab w:val="left" w:pos="6833"/>
        </w:tabs>
        <w:spacing w:after="120"/>
        <w:ind w:firstLine="567"/>
        <w:jc w:val="center"/>
        <w:rPr>
          <w:rFonts w:asciiTheme="minorHAnsi" w:hAnsiTheme="minorHAnsi"/>
          <w:b/>
          <w:u w:val="single"/>
        </w:rPr>
      </w:pPr>
      <w:r w:rsidRPr="00DE3501">
        <w:rPr>
          <w:rFonts w:asciiTheme="minorHAnsi" w:hAnsiTheme="minorHAnsi"/>
          <w:b/>
          <w:u w:val="single"/>
        </w:rPr>
        <w:t>ΣΥΧΝΕΣ ΕΡΩΤΗΣΕΙΣ</w:t>
      </w:r>
    </w:p>
    <w:p w:rsidR="00394F61" w:rsidRPr="00DE3501" w:rsidRDefault="00394F61" w:rsidP="00394F61">
      <w:pPr>
        <w:pStyle w:val="a1"/>
        <w:numPr>
          <w:ilvl w:val="0"/>
          <w:numId w:val="5"/>
        </w:numPr>
        <w:spacing w:after="120"/>
        <w:ind w:left="714" w:hanging="357"/>
        <w:contextualSpacing w:val="0"/>
        <w:jc w:val="both"/>
        <w:rPr>
          <w:rFonts w:asciiTheme="minorHAnsi" w:hAnsiTheme="minorHAnsi"/>
          <w:b/>
          <w:bCs/>
        </w:rPr>
      </w:pPr>
      <w:r w:rsidRPr="00DE3501">
        <w:rPr>
          <w:rFonts w:asciiTheme="minorHAnsi" w:hAnsiTheme="minorHAnsi"/>
          <w:b/>
          <w:bCs/>
        </w:rPr>
        <w:t xml:space="preserve">Βάσει θεσμικού πλαισίου επιτρέπεται οι δικαιούχοι που θα εγκριθούν σε κάποια </w:t>
      </w:r>
      <w:proofErr w:type="spellStart"/>
      <w:r w:rsidRPr="00DE3501">
        <w:rPr>
          <w:rFonts w:asciiTheme="minorHAnsi" w:hAnsiTheme="minorHAnsi"/>
          <w:b/>
          <w:bCs/>
        </w:rPr>
        <w:t>Υποδράση</w:t>
      </w:r>
      <w:proofErr w:type="spellEnd"/>
      <w:r w:rsidRPr="00DE3501">
        <w:rPr>
          <w:rFonts w:asciiTheme="minorHAnsi" w:hAnsiTheme="minorHAnsi"/>
          <w:b/>
          <w:bCs/>
        </w:rPr>
        <w:t xml:space="preserve"> του </w:t>
      </w:r>
      <w:proofErr w:type="spellStart"/>
      <w:r w:rsidRPr="00DE3501">
        <w:rPr>
          <w:rFonts w:asciiTheme="minorHAnsi" w:hAnsiTheme="minorHAnsi"/>
          <w:b/>
          <w:bCs/>
        </w:rPr>
        <w:t>Υπομέτρου</w:t>
      </w:r>
      <w:proofErr w:type="spellEnd"/>
      <w:r w:rsidRPr="00DE3501">
        <w:rPr>
          <w:rFonts w:asciiTheme="minorHAnsi" w:hAnsiTheme="minorHAnsi"/>
          <w:b/>
          <w:bCs/>
        </w:rPr>
        <w:t xml:space="preserve"> 19.2 (για παρεμβάσεις ιδιωτικού ή δημοσίου χαρακτήρα), να λάβουν δάνειο έναντι εκχώρησης της επιχορήγησης (10/04/2019);</w:t>
      </w:r>
    </w:p>
    <w:p w:rsidR="00DE3501" w:rsidRPr="00DE3501" w:rsidRDefault="00DE3501" w:rsidP="00DE3501">
      <w:pPr>
        <w:pStyle w:val="a1"/>
        <w:jc w:val="both"/>
        <w:rPr>
          <w:rFonts w:asciiTheme="minorHAnsi" w:hAnsiTheme="minorHAnsi"/>
          <w:b/>
          <w:bCs/>
          <w:u w:val="single"/>
        </w:rPr>
      </w:pPr>
      <w:r w:rsidRPr="00DE3501">
        <w:rPr>
          <w:rFonts w:asciiTheme="minorHAnsi" w:hAnsiTheme="minorHAnsi"/>
          <w:b/>
          <w:bCs/>
          <w:u w:val="single"/>
        </w:rPr>
        <w:t>Απάντηση</w:t>
      </w:r>
    </w:p>
    <w:p w:rsidR="00394F61" w:rsidRPr="00DE3501" w:rsidRDefault="00394F61" w:rsidP="009F15E5">
      <w:pPr>
        <w:pStyle w:val="a1"/>
        <w:spacing w:after="120"/>
        <w:contextualSpacing w:val="0"/>
        <w:jc w:val="both"/>
        <w:rPr>
          <w:rFonts w:asciiTheme="minorHAnsi" w:hAnsiTheme="minorHAnsi"/>
          <w:bCs/>
        </w:rPr>
      </w:pPr>
      <w:r w:rsidRPr="00DE3501">
        <w:rPr>
          <w:rFonts w:asciiTheme="minorHAnsi" w:hAnsiTheme="minorHAnsi"/>
          <w:bCs/>
        </w:rPr>
        <w:t xml:space="preserve">Το θεσμικό πλαίσιο εφαρμογής του προγράμματος </w:t>
      </w:r>
      <w:r w:rsidRPr="00DE3501">
        <w:rPr>
          <w:rFonts w:asciiTheme="minorHAnsi" w:hAnsiTheme="minorHAnsi"/>
          <w:bCs/>
          <w:lang w:val="en-US"/>
        </w:rPr>
        <w:t>CLLD</w:t>
      </w:r>
      <w:r w:rsidRPr="00DE3501">
        <w:rPr>
          <w:rFonts w:asciiTheme="minorHAnsi" w:hAnsiTheme="minorHAnsi"/>
          <w:bCs/>
        </w:rPr>
        <w:t>/LEADER (για παρεμβάσεις ιδιωτικού και δημόσιου χαρακτήρα) δεν απαγορεύει από τους δικαιούχους τη λήψη δανείου έναντι εκχώρησης της επιχορήγησης, όπως και στην προηγούμενη προγραμματική περίοδο.</w:t>
      </w:r>
    </w:p>
    <w:p w:rsidR="00821732" w:rsidRPr="00DE3501" w:rsidRDefault="0088110D" w:rsidP="007C24C8">
      <w:pPr>
        <w:pStyle w:val="a1"/>
        <w:numPr>
          <w:ilvl w:val="0"/>
          <w:numId w:val="5"/>
        </w:numPr>
        <w:spacing w:after="120"/>
        <w:ind w:left="714" w:hanging="357"/>
        <w:contextualSpacing w:val="0"/>
        <w:jc w:val="both"/>
        <w:rPr>
          <w:rFonts w:asciiTheme="minorHAnsi" w:hAnsiTheme="minorHAnsi"/>
          <w:b/>
          <w:bCs/>
        </w:rPr>
      </w:pPr>
      <w:r w:rsidRPr="00DE3501">
        <w:rPr>
          <w:rFonts w:asciiTheme="minorHAnsi" w:hAnsiTheme="minorHAnsi"/>
          <w:b/>
          <w:bCs/>
        </w:rPr>
        <w:t>Θα θέλαμε να μας διευκρινίσετε αν η πιστοποιημένη αναπηρία</w:t>
      </w:r>
      <w:r w:rsidR="00170055" w:rsidRPr="00DE3501">
        <w:rPr>
          <w:rFonts w:asciiTheme="minorHAnsi" w:hAnsiTheme="minorHAnsi"/>
          <w:b/>
          <w:bCs/>
        </w:rPr>
        <w:t xml:space="preserve"> του υποψήφιου δικαιούχου αποτελεί κριτήριο επιλογής/βαθμολόγησης</w:t>
      </w:r>
      <w:r w:rsidRPr="00DE3501">
        <w:rPr>
          <w:rFonts w:asciiTheme="minorHAnsi" w:hAnsiTheme="minorHAnsi"/>
          <w:b/>
          <w:bCs/>
        </w:rPr>
        <w:t xml:space="preserve"> </w:t>
      </w:r>
      <w:r w:rsidR="00170055" w:rsidRPr="00DE3501">
        <w:rPr>
          <w:rFonts w:asciiTheme="minorHAnsi" w:hAnsiTheme="minorHAnsi"/>
          <w:b/>
          <w:bCs/>
        </w:rPr>
        <w:t>(11/04/2019</w:t>
      </w:r>
      <w:r w:rsidR="00E87379" w:rsidRPr="00DE3501">
        <w:rPr>
          <w:rFonts w:asciiTheme="minorHAnsi" w:hAnsiTheme="minorHAnsi"/>
          <w:b/>
          <w:bCs/>
        </w:rPr>
        <w:t>)</w:t>
      </w:r>
      <w:r w:rsidR="007A65F8" w:rsidRPr="00DE3501">
        <w:rPr>
          <w:rFonts w:asciiTheme="minorHAnsi" w:hAnsiTheme="minorHAnsi"/>
          <w:b/>
          <w:bCs/>
        </w:rPr>
        <w:t>.</w:t>
      </w:r>
    </w:p>
    <w:p w:rsidR="00E87379" w:rsidRPr="00DE3501" w:rsidRDefault="00E87379" w:rsidP="00E87379">
      <w:pPr>
        <w:pStyle w:val="a1"/>
        <w:jc w:val="both"/>
        <w:rPr>
          <w:rFonts w:asciiTheme="minorHAnsi" w:hAnsiTheme="minorHAnsi"/>
          <w:b/>
          <w:bCs/>
          <w:u w:val="single"/>
        </w:rPr>
      </w:pPr>
      <w:r w:rsidRPr="00DE3501">
        <w:rPr>
          <w:rFonts w:asciiTheme="minorHAnsi" w:hAnsiTheme="minorHAnsi"/>
          <w:b/>
          <w:bCs/>
          <w:u w:val="single"/>
        </w:rPr>
        <w:t>Απάντηση</w:t>
      </w:r>
    </w:p>
    <w:p w:rsidR="0088110D" w:rsidRPr="00DE3501" w:rsidRDefault="00414127" w:rsidP="0088110D">
      <w:pPr>
        <w:pStyle w:val="a1"/>
        <w:jc w:val="both"/>
        <w:rPr>
          <w:rFonts w:asciiTheme="minorHAnsi" w:hAnsiTheme="minorHAnsi"/>
          <w:bCs/>
        </w:rPr>
      </w:pPr>
      <w:r w:rsidRPr="00DE3501">
        <w:rPr>
          <w:rFonts w:asciiTheme="minorHAnsi" w:hAnsiTheme="minorHAnsi"/>
          <w:bCs/>
        </w:rPr>
        <w:t>Όπως μπορείτε να δείτε και στον «Ενημερωτικό Οδηγό Πρόσκλησης» (</w:t>
      </w:r>
      <w:proofErr w:type="spellStart"/>
      <w:r w:rsidRPr="00DE3501">
        <w:rPr>
          <w:rFonts w:asciiTheme="minorHAnsi" w:hAnsiTheme="minorHAnsi"/>
          <w:bCs/>
        </w:rPr>
        <w:t>Κεφ</w:t>
      </w:r>
      <w:proofErr w:type="spellEnd"/>
      <w:r w:rsidRPr="00DE3501">
        <w:rPr>
          <w:rFonts w:asciiTheme="minorHAnsi" w:hAnsiTheme="minorHAnsi"/>
          <w:bCs/>
        </w:rPr>
        <w:t xml:space="preserve"> Α.3,σελ 59-77</w:t>
      </w:r>
      <w:r w:rsidR="007C24C8" w:rsidRPr="00DE3501">
        <w:rPr>
          <w:rFonts w:asciiTheme="minorHAnsi" w:hAnsiTheme="minorHAnsi"/>
          <w:bCs/>
        </w:rPr>
        <w:t xml:space="preserve"> για το ΤΠ </w:t>
      </w:r>
      <w:r w:rsidR="007C24C8" w:rsidRPr="00DE3501">
        <w:rPr>
          <w:rFonts w:asciiTheme="minorHAnsi" w:hAnsiTheme="minorHAnsi"/>
          <w:bCs/>
          <w:lang w:val="en-US"/>
        </w:rPr>
        <w:t>CLLD</w:t>
      </w:r>
      <w:r w:rsidR="007C24C8" w:rsidRPr="00DE3501">
        <w:rPr>
          <w:rFonts w:asciiTheme="minorHAnsi" w:hAnsiTheme="minorHAnsi"/>
          <w:bCs/>
        </w:rPr>
        <w:t>/</w:t>
      </w:r>
      <w:r w:rsidR="007C24C8" w:rsidRPr="00DE3501">
        <w:rPr>
          <w:rFonts w:asciiTheme="minorHAnsi" w:hAnsiTheme="minorHAnsi"/>
          <w:bCs/>
          <w:lang w:val="en-US"/>
        </w:rPr>
        <w:t>LEADER</w:t>
      </w:r>
      <w:r w:rsidR="007C24C8" w:rsidRPr="00DE3501">
        <w:rPr>
          <w:rFonts w:asciiTheme="minorHAnsi" w:hAnsiTheme="minorHAnsi"/>
          <w:bCs/>
        </w:rPr>
        <w:t xml:space="preserve"> Ν. Ηράκλειου και </w:t>
      </w:r>
      <w:proofErr w:type="spellStart"/>
      <w:r w:rsidR="007C24C8" w:rsidRPr="00DE3501">
        <w:rPr>
          <w:rFonts w:asciiTheme="minorHAnsi" w:hAnsiTheme="minorHAnsi"/>
          <w:bCs/>
        </w:rPr>
        <w:t>Κεφ</w:t>
      </w:r>
      <w:proofErr w:type="spellEnd"/>
      <w:r w:rsidR="007C24C8" w:rsidRPr="00DE3501">
        <w:rPr>
          <w:rFonts w:asciiTheme="minorHAnsi" w:hAnsiTheme="minorHAnsi"/>
          <w:bCs/>
        </w:rPr>
        <w:t xml:space="preserve"> Α.</w:t>
      </w:r>
      <w:r w:rsidR="00154D99" w:rsidRPr="00DE3501">
        <w:rPr>
          <w:rFonts w:asciiTheme="minorHAnsi" w:hAnsiTheme="minorHAnsi"/>
          <w:bCs/>
        </w:rPr>
        <w:t>3,σελ 60</w:t>
      </w:r>
      <w:r w:rsidR="007C24C8" w:rsidRPr="00DE3501">
        <w:rPr>
          <w:rFonts w:asciiTheme="minorHAnsi" w:hAnsiTheme="minorHAnsi"/>
          <w:bCs/>
        </w:rPr>
        <w:t>-7</w:t>
      </w:r>
      <w:r w:rsidR="00154D99" w:rsidRPr="00DE3501">
        <w:rPr>
          <w:rFonts w:asciiTheme="minorHAnsi" w:hAnsiTheme="minorHAnsi"/>
          <w:bCs/>
        </w:rPr>
        <w:t>8</w:t>
      </w:r>
      <w:r w:rsidR="007C24C8" w:rsidRPr="00DE3501">
        <w:rPr>
          <w:rFonts w:asciiTheme="minorHAnsi" w:hAnsiTheme="minorHAnsi"/>
          <w:bCs/>
        </w:rPr>
        <w:t xml:space="preserve"> για το ΤΠ </w:t>
      </w:r>
      <w:r w:rsidR="007C24C8" w:rsidRPr="00DE3501">
        <w:rPr>
          <w:rFonts w:asciiTheme="minorHAnsi" w:hAnsiTheme="minorHAnsi"/>
          <w:bCs/>
          <w:lang w:val="en-US"/>
        </w:rPr>
        <w:t>CLLD</w:t>
      </w:r>
      <w:r w:rsidR="007C24C8" w:rsidRPr="00DE3501">
        <w:rPr>
          <w:rFonts w:asciiTheme="minorHAnsi" w:hAnsiTheme="minorHAnsi"/>
          <w:bCs/>
        </w:rPr>
        <w:t>/</w:t>
      </w:r>
      <w:r w:rsidR="007C24C8" w:rsidRPr="00DE3501">
        <w:rPr>
          <w:rFonts w:asciiTheme="minorHAnsi" w:hAnsiTheme="minorHAnsi"/>
          <w:bCs/>
          <w:lang w:val="en-US"/>
        </w:rPr>
        <w:t>LEADER</w:t>
      </w:r>
      <w:r w:rsidR="007C24C8" w:rsidRPr="00DE3501">
        <w:rPr>
          <w:rFonts w:asciiTheme="minorHAnsi" w:hAnsiTheme="minorHAnsi"/>
          <w:bCs/>
        </w:rPr>
        <w:t xml:space="preserve"> </w:t>
      </w:r>
      <w:proofErr w:type="spellStart"/>
      <w:r w:rsidR="00154D99" w:rsidRPr="00DE3501">
        <w:rPr>
          <w:rFonts w:asciiTheme="minorHAnsi" w:hAnsiTheme="minorHAnsi"/>
          <w:bCs/>
        </w:rPr>
        <w:t>Μεσαράς</w:t>
      </w:r>
      <w:proofErr w:type="spellEnd"/>
      <w:r w:rsidRPr="00DE3501">
        <w:rPr>
          <w:rFonts w:asciiTheme="minorHAnsi" w:hAnsiTheme="minorHAnsi"/>
          <w:bCs/>
        </w:rPr>
        <w:t xml:space="preserve">) </w:t>
      </w:r>
      <w:r w:rsidR="0088110D" w:rsidRPr="00DE3501">
        <w:rPr>
          <w:rFonts w:asciiTheme="minorHAnsi" w:hAnsiTheme="minorHAnsi"/>
          <w:bCs/>
          <w:u w:val="single"/>
        </w:rPr>
        <w:t>δεν</w:t>
      </w:r>
      <w:r w:rsidRPr="00DE3501">
        <w:rPr>
          <w:rFonts w:asciiTheme="minorHAnsi" w:hAnsiTheme="minorHAnsi"/>
          <w:bCs/>
          <w:u w:val="single"/>
        </w:rPr>
        <w:t xml:space="preserve"> αποτελεί</w:t>
      </w:r>
      <w:r w:rsidRPr="00DE3501">
        <w:rPr>
          <w:rFonts w:asciiTheme="minorHAnsi" w:hAnsiTheme="minorHAnsi"/>
          <w:bCs/>
        </w:rPr>
        <w:t xml:space="preserve"> κριτήριο επιλογής «η π</w:t>
      </w:r>
      <w:r w:rsidR="0088110D" w:rsidRPr="00DE3501">
        <w:rPr>
          <w:rFonts w:asciiTheme="minorHAnsi" w:hAnsiTheme="minorHAnsi"/>
          <w:bCs/>
        </w:rPr>
        <w:t>ροώθηση επιχειρηματικότητας ατόμων με ειδικές ανάγκες».</w:t>
      </w:r>
    </w:p>
    <w:p w:rsidR="00A569C2" w:rsidRPr="00DE3501" w:rsidRDefault="0088110D" w:rsidP="007C24C8">
      <w:pPr>
        <w:pStyle w:val="a1"/>
        <w:spacing w:after="120"/>
        <w:contextualSpacing w:val="0"/>
        <w:jc w:val="both"/>
        <w:rPr>
          <w:rFonts w:asciiTheme="minorHAnsi" w:hAnsiTheme="minorHAnsi"/>
          <w:bCs/>
        </w:rPr>
      </w:pPr>
      <w:r w:rsidRPr="00DE3501">
        <w:rPr>
          <w:rFonts w:asciiTheme="minorHAnsi" w:hAnsiTheme="minorHAnsi"/>
          <w:bCs/>
        </w:rPr>
        <w:t>Αντίθετα, το κριτήριο αυτό υπάρχ</w:t>
      </w:r>
      <w:r w:rsidR="00414127" w:rsidRPr="00DE3501">
        <w:rPr>
          <w:rFonts w:asciiTheme="minorHAnsi" w:hAnsiTheme="minorHAnsi"/>
          <w:bCs/>
        </w:rPr>
        <w:t xml:space="preserve">ει στην αντίστοιχη πρόσκληση της ΟΤΔ </w:t>
      </w:r>
      <w:r w:rsidRPr="00DE3501">
        <w:rPr>
          <w:rFonts w:asciiTheme="minorHAnsi" w:hAnsiTheme="minorHAnsi"/>
          <w:bCs/>
        </w:rPr>
        <w:t xml:space="preserve"> </w:t>
      </w:r>
      <w:r w:rsidR="00414127" w:rsidRPr="00DE3501">
        <w:rPr>
          <w:rFonts w:asciiTheme="minorHAnsi" w:hAnsiTheme="minorHAnsi"/>
          <w:bCs/>
        </w:rPr>
        <w:t>ΑΚΟΜΜ-ΨΗΛΟΡΕΙΤΗΣ ΑΝΑΠΤΥΞΙΑΚΗ Α.Ε  ΟΤΑ</w:t>
      </w:r>
      <w:r w:rsidRPr="00DE3501">
        <w:rPr>
          <w:rFonts w:asciiTheme="minorHAnsi" w:hAnsiTheme="minorHAnsi"/>
          <w:bCs/>
        </w:rPr>
        <w:t>.</w:t>
      </w:r>
      <w:r w:rsidR="00414127" w:rsidRPr="00DE3501">
        <w:rPr>
          <w:rFonts w:asciiTheme="minorHAnsi" w:hAnsiTheme="minorHAnsi"/>
          <w:bCs/>
        </w:rPr>
        <w:t xml:space="preserve"> Παρακαλούμε</w:t>
      </w:r>
      <w:r w:rsidRPr="00DE3501">
        <w:rPr>
          <w:rFonts w:asciiTheme="minorHAnsi" w:hAnsiTheme="minorHAnsi"/>
          <w:bCs/>
        </w:rPr>
        <w:t xml:space="preserve"> για την προσοχή σας στις διαφοροποιήσεις των προκηρύξεων ώστε να μην υπάρχουν προβλήματα κατά την υποβολή και αξιολόγηση των επενδυτικών σχεδίων.</w:t>
      </w:r>
    </w:p>
    <w:p w:rsidR="00547E15" w:rsidRPr="00DE3501" w:rsidRDefault="00547E15" w:rsidP="007C24C8">
      <w:pPr>
        <w:pStyle w:val="a1"/>
        <w:numPr>
          <w:ilvl w:val="0"/>
          <w:numId w:val="5"/>
        </w:numPr>
        <w:spacing w:after="120"/>
        <w:ind w:left="714" w:hanging="357"/>
        <w:contextualSpacing w:val="0"/>
        <w:jc w:val="both"/>
        <w:rPr>
          <w:rFonts w:asciiTheme="minorHAnsi" w:hAnsiTheme="minorHAnsi"/>
          <w:b/>
          <w:bCs/>
        </w:rPr>
      </w:pPr>
      <w:r w:rsidRPr="00DE3501">
        <w:rPr>
          <w:rFonts w:asciiTheme="minorHAnsi" w:hAnsiTheme="minorHAnsi"/>
          <w:b/>
          <w:bCs/>
        </w:rPr>
        <w:t>Θα ήθελα να σας ρωτήσω εάν το ίδιο φυσικό ή νομικό πρόσωπο ιδιωτικού δικαίου μπορεί να καταθέσει παραπάνω από μία προτάσεις</w:t>
      </w:r>
      <w:r w:rsidR="007C24C8" w:rsidRPr="00DE3501">
        <w:rPr>
          <w:rFonts w:asciiTheme="minorHAnsi" w:hAnsiTheme="minorHAnsi"/>
          <w:b/>
          <w:bCs/>
        </w:rPr>
        <w:t xml:space="preserve"> (14/04/2019).</w:t>
      </w:r>
    </w:p>
    <w:p w:rsidR="000C666D" w:rsidRPr="00DE3501" w:rsidRDefault="000C666D" w:rsidP="000C666D">
      <w:pPr>
        <w:ind w:left="709"/>
        <w:jc w:val="both"/>
        <w:rPr>
          <w:rFonts w:asciiTheme="minorHAnsi" w:hAnsiTheme="minorHAnsi"/>
          <w:b/>
          <w:bCs/>
          <w:u w:val="single"/>
        </w:rPr>
      </w:pPr>
      <w:r w:rsidRPr="00DE3501">
        <w:rPr>
          <w:rFonts w:asciiTheme="minorHAnsi" w:hAnsiTheme="minorHAnsi"/>
          <w:b/>
          <w:bCs/>
          <w:u w:val="single"/>
        </w:rPr>
        <w:t>Απάντηση</w:t>
      </w:r>
    </w:p>
    <w:p w:rsidR="007C24C8" w:rsidRPr="00DE3501" w:rsidRDefault="009F5B83" w:rsidP="007C24C8">
      <w:pPr>
        <w:pStyle w:val="a1"/>
        <w:jc w:val="both"/>
        <w:rPr>
          <w:rFonts w:asciiTheme="minorHAnsi" w:hAnsiTheme="minorHAnsi"/>
          <w:bCs/>
        </w:rPr>
      </w:pPr>
      <w:r w:rsidRPr="00DE3501">
        <w:rPr>
          <w:rFonts w:asciiTheme="minorHAnsi" w:hAnsiTheme="minorHAnsi"/>
          <w:bCs/>
        </w:rPr>
        <w:t>Όπως αναγράφεται στο άρθρο 7</w:t>
      </w:r>
      <w:r w:rsidR="007C24C8" w:rsidRPr="00DE3501">
        <w:rPr>
          <w:rFonts w:asciiTheme="minorHAnsi" w:hAnsiTheme="minorHAnsi"/>
          <w:bCs/>
        </w:rPr>
        <w:t xml:space="preserve"> (σελ. 30) της πρόσκλησης για την υποβολή π</w:t>
      </w:r>
      <w:r w:rsidRPr="00DE3501">
        <w:rPr>
          <w:rFonts w:asciiTheme="minorHAnsi" w:hAnsiTheme="minorHAnsi"/>
          <w:bCs/>
        </w:rPr>
        <w:t>ροτάσεων στο πλαίσιο του ΤΠ</w:t>
      </w:r>
      <w:r w:rsidR="007C24C8" w:rsidRPr="00DE3501">
        <w:rPr>
          <w:rFonts w:asciiTheme="minorHAnsi" w:hAnsiTheme="minorHAnsi"/>
          <w:bCs/>
        </w:rPr>
        <w:t xml:space="preserve"> CLLD/LEADER Ν. Ηρακλείου και </w:t>
      </w:r>
      <w:r w:rsidRPr="00DE3501">
        <w:rPr>
          <w:rFonts w:asciiTheme="minorHAnsi" w:hAnsiTheme="minorHAnsi"/>
          <w:bCs/>
        </w:rPr>
        <w:t xml:space="preserve">στο άρθρο 7 (σελ. 26) της πρόσκλησης του ΤΠ CLLD/LEADER </w:t>
      </w:r>
      <w:proofErr w:type="spellStart"/>
      <w:r w:rsidRPr="00DE3501">
        <w:rPr>
          <w:rFonts w:asciiTheme="minorHAnsi" w:hAnsiTheme="minorHAnsi"/>
          <w:bCs/>
        </w:rPr>
        <w:t>Μεσαράς</w:t>
      </w:r>
      <w:proofErr w:type="spellEnd"/>
      <w:r w:rsidR="007C24C8" w:rsidRPr="00DE3501">
        <w:rPr>
          <w:rFonts w:asciiTheme="minorHAnsi" w:hAnsiTheme="minorHAnsi"/>
          <w:bCs/>
        </w:rPr>
        <w:t>:</w:t>
      </w:r>
    </w:p>
    <w:p w:rsidR="007C24C8" w:rsidRPr="00DE3501" w:rsidRDefault="007C24C8" w:rsidP="004E5C61">
      <w:pPr>
        <w:pStyle w:val="a1"/>
        <w:spacing w:after="60"/>
        <w:contextualSpacing w:val="0"/>
        <w:jc w:val="both"/>
        <w:rPr>
          <w:rFonts w:asciiTheme="minorHAnsi" w:hAnsiTheme="minorHAnsi"/>
          <w:b/>
          <w:bCs/>
          <w:i/>
        </w:rPr>
      </w:pPr>
      <w:r w:rsidRPr="00DE3501">
        <w:rPr>
          <w:rFonts w:asciiTheme="minorHAnsi" w:hAnsiTheme="minorHAnsi"/>
          <w:b/>
          <w:bCs/>
          <w:i/>
        </w:rPr>
        <w:t xml:space="preserve">«Επιτρέπεται η κατάθεση μόνο μίας αίτησης στήριξης ανά ΑΦΜ, ανά </w:t>
      </w:r>
      <w:proofErr w:type="spellStart"/>
      <w:r w:rsidRPr="00DE3501">
        <w:rPr>
          <w:rFonts w:asciiTheme="minorHAnsi" w:hAnsiTheme="minorHAnsi"/>
          <w:b/>
          <w:bCs/>
          <w:i/>
        </w:rPr>
        <w:t>υποδράση</w:t>
      </w:r>
      <w:proofErr w:type="spellEnd"/>
      <w:r w:rsidRPr="00DE3501">
        <w:rPr>
          <w:rFonts w:asciiTheme="minorHAnsi" w:hAnsiTheme="minorHAnsi"/>
          <w:b/>
          <w:bCs/>
          <w:i/>
        </w:rPr>
        <w:t xml:space="preserve"> στο πλαίσιο της ίδιας πρόσκλησης ανά Τ.Π. για όλη την περίοδο 2014-2020.</w:t>
      </w:r>
    </w:p>
    <w:p w:rsidR="007C24C8" w:rsidRPr="00DE3501" w:rsidRDefault="007C24C8" w:rsidP="004E5C61">
      <w:pPr>
        <w:pStyle w:val="a1"/>
        <w:spacing w:after="60"/>
        <w:contextualSpacing w:val="0"/>
        <w:jc w:val="both"/>
        <w:rPr>
          <w:rFonts w:asciiTheme="minorHAnsi" w:hAnsiTheme="minorHAnsi"/>
          <w:bCs/>
          <w:i/>
        </w:rPr>
      </w:pPr>
      <w:r w:rsidRPr="00DE3501">
        <w:rPr>
          <w:rFonts w:asciiTheme="minorHAnsi" w:hAnsiTheme="minorHAnsi"/>
          <w:bCs/>
          <w:i/>
        </w:rPr>
        <w:t xml:space="preserve">Επιτρέπεται η συμμετοχή φυσικού ή νομικού προσώπου σε περισσότερες από μια αιτήσεις στήριξης στο πλαίσιο της ίδιας </w:t>
      </w:r>
      <w:proofErr w:type="spellStart"/>
      <w:r w:rsidRPr="00DE3501">
        <w:rPr>
          <w:rFonts w:asciiTheme="minorHAnsi" w:hAnsiTheme="minorHAnsi"/>
          <w:bCs/>
          <w:i/>
        </w:rPr>
        <w:t>Υποδράσης</w:t>
      </w:r>
      <w:proofErr w:type="spellEnd"/>
      <w:r w:rsidRPr="00DE3501">
        <w:rPr>
          <w:rFonts w:asciiTheme="minorHAnsi" w:hAnsiTheme="minorHAnsi"/>
          <w:bCs/>
          <w:i/>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περίοδο 2014 -2020. </w:t>
      </w:r>
    </w:p>
    <w:p w:rsidR="007C24C8" w:rsidRPr="00DE3501" w:rsidRDefault="007C24C8" w:rsidP="005832D0">
      <w:pPr>
        <w:pStyle w:val="a1"/>
        <w:spacing w:after="60"/>
        <w:contextualSpacing w:val="0"/>
        <w:jc w:val="both"/>
        <w:rPr>
          <w:rFonts w:asciiTheme="minorHAnsi" w:hAnsiTheme="minorHAnsi"/>
          <w:bCs/>
          <w:i/>
        </w:rPr>
      </w:pPr>
      <w:r w:rsidRPr="00DE3501">
        <w:rPr>
          <w:rFonts w:asciiTheme="minorHAnsi" w:hAnsiTheme="minorHAnsi"/>
          <w:b/>
          <w:bCs/>
          <w:i/>
        </w:rPr>
        <w:t xml:space="preserve">Δεν θεωρείται διαφορετική </w:t>
      </w:r>
      <w:proofErr w:type="spellStart"/>
      <w:r w:rsidRPr="00DE3501">
        <w:rPr>
          <w:rFonts w:asciiTheme="minorHAnsi" w:hAnsiTheme="minorHAnsi"/>
          <w:b/>
          <w:bCs/>
          <w:i/>
        </w:rPr>
        <w:t>Υποδράση</w:t>
      </w:r>
      <w:proofErr w:type="spellEnd"/>
      <w:r w:rsidRPr="00DE3501">
        <w:rPr>
          <w:rFonts w:asciiTheme="minorHAnsi" w:hAnsiTheme="minorHAnsi"/>
          <w:bCs/>
          <w:i/>
        </w:rPr>
        <w:t xml:space="preserve">, η διαφοροποίηση μεταξύ Οριζόντιας εφαρμογής μιας </w:t>
      </w:r>
      <w:proofErr w:type="spellStart"/>
      <w:r w:rsidRPr="00DE3501">
        <w:rPr>
          <w:rFonts w:asciiTheme="minorHAnsi" w:hAnsiTheme="minorHAnsi"/>
          <w:bCs/>
          <w:i/>
        </w:rPr>
        <w:t>Υποδράσης</w:t>
      </w:r>
      <w:proofErr w:type="spellEnd"/>
      <w:r w:rsidRPr="00DE3501">
        <w:rPr>
          <w:rFonts w:asciiTheme="minorHAnsi" w:hAnsiTheme="minorHAnsi"/>
          <w:bCs/>
          <w:i/>
        </w:rPr>
        <w:t xml:space="preserve"> και εφαρμογής σε εξειδικευμένους τομείς, περιοχές ή δικαιούχους στο ίδιο ΤΠ εφόσον το περιεχόμενο της </w:t>
      </w:r>
      <w:proofErr w:type="spellStart"/>
      <w:r w:rsidRPr="00DE3501">
        <w:rPr>
          <w:rFonts w:asciiTheme="minorHAnsi" w:hAnsiTheme="minorHAnsi"/>
          <w:bCs/>
          <w:i/>
        </w:rPr>
        <w:t>Υποδράσης</w:t>
      </w:r>
      <w:proofErr w:type="spellEnd"/>
      <w:r w:rsidRPr="00DE3501">
        <w:rPr>
          <w:rFonts w:asciiTheme="minorHAnsi" w:hAnsiTheme="minorHAnsi"/>
          <w:bCs/>
          <w:i/>
        </w:rPr>
        <w:t xml:space="preserve"> είναι το ίδιο (Άρθρο 3 ΚΥΑ 2635/13-09-2017, (ΦΕΚ 3313/Β/20-09-2017)).»</w:t>
      </w:r>
    </w:p>
    <w:p w:rsidR="007C24C8" w:rsidRPr="00DE3501" w:rsidRDefault="007C24C8" w:rsidP="009F15E5">
      <w:pPr>
        <w:pStyle w:val="a1"/>
        <w:spacing w:after="120"/>
        <w:contextualSpacing w:val="0"/>
        <w:jc w:val="both"/>
        <w:rPr>
          <w:rFonts w:asciiTheme="minorHAnsi" w:hAnsiTheme="minorHAnsi"/>
          <w:bCs/>
        </w:rPr>
      </w:pPr>
      <w:r w:rsidRPr="00DE3501">
        <w:rPr>
          <w:rFonts w:asciiTheme="minorHAnsi" w:hAnsiTheme="minorHAnsi"/>
          <w:b/>
          <w:bCs/>
          <w:u w:val="single"/>
        </w:rPr>
        <w:lastRenderedPageBreak/>
        <w:t>Προσοχή:</w:t>
      </w:r>
      <w:r w:rsidRPr="00DE3501">
        <w:rPr>
          <w:rFonts w:asciiTheme="minorHAnsi" w:hAnsiTheme="minorHAnsi"/>
          <w:bCs/>
        </w:rPr>
        <w:t xml:space="preserve"> Τα παραπάνω αποτελούν και κριτήριο αποκλεισμού. (Βλ. </w:t>
      </w:r>
      <w:r w:rsidR="005832D0" w:rsidRPr="00DE3501">
        <w:rPr>
          <w:rFonts w:asciiTheme="minorHAnsi" w:hAnsiTheme="minorHAnsi"/>
          <w:bCs/>
        </w:rPr>
        <w:t>«</w:t>
      </w:r>
      <w:r w:rsidRPr="00DE3501">
        <w:rPr>
          <w:rFonts w:asciiTheme="minorHAnsi" w:hAnsiTheme="minorHAnsi"/>
          <w:bCs/>
        </w:rPr>
        <w:t>Ενημερωτικό Οδηγό  Πρόσκλησης</w:t>
      </w:r>
      <w:r w:rsidR="005832D0" w:rsidRPr="00DE3501">
        <w:rPr>
          <w:rFonts w:asciiTheme="minorHAnsi" w:hAnsiTheme="minorHAnsi"/>
          <w:bCs/>
        </w:rPr>
        <w:t xml:space="preserve">» </w:t>
      </w:r>
      <w:proofErr w:type="spellStart"/>
      <w:r w:rsidR="005832D0" w:rsidRPr="00DE3501">
        <w:rPr>
          <w:rFonts w:asciiTheme="minorHAnsi" w:hAnsiTheme="minorHAnsi"/>
          <w:bCs/>
        </w:rPr>
        <w:t>Κεφ</w:t>
      </w:r>
      <w:proofErr w:type="spellEnd"/>
      <w:r w:rsidR="005832D0" w:rsidRPr="00DE3501">
        <w:rPr>
          <w:rFonts w:asciiTheme="minorHAnsi" w:hAnsiTheme="minorHAnsi"/>
          <w:bCs/>
        </w:rPr>
        <w:t xml:space="preserve"> Α.</w:t>
      </w:r>
      <w:r w:rsidR="005F76B1" w:rsidRPr="00DE3501">
        <w:rPr>
          <w:rFonts w:asciiTheme="minorHAnsi" w:hAnsiTheme="minorHAnsi"/>
          <w:bCs/>
        </w:rPr>
        <w:t>2</w:t>
      </w:r>
      <w:r w:rsidR="005832D0" w:rsidRPr="00DE3501">
        <w:rPr>
          <w:rFonts w:asciiTheme="minorHAnsi" w:hAnsiTheme="minorHAnsi"/>
          <w:bCs/>
        </w:rPr>
        <w:t>,</w:t>
      </w:r>
      <w:r w:rsidR="005243B4" w:rsidRPr="00DE3501">
        <w:rPr>
          <w:rFonts w:asciiTheme="minorHAnsi" w:hAnsiTheme="minorHAnsi"/>
          <w:bCs/>
        </w:rPr>
        <w:t xml:space="preserve"> </w:t>
      </w:r>
      <w:proofErr w:type="spellStart"/>
      <w:r w:rsidR="005832D0" w:rsidRPr="00DE3501">
        <w:rPr>
          <w:rFonts w:asciiTheme="minorHAnsi" w:hAnsiTheme="minorHAnsi"/>
          <w:bCs/>
        </w:rPr>
        <w:t>σελ</w:t>
      </w:r>
      <w:proofErr w:type="spellEnd"/>
      <w:r w:rsidR="005832D0" w:rsidRPr="00DE3501">
        <w:rPr>
          <w:rFonts w:asciiTheme="minorHAnsi" w:hAnsiTheme="minorHAnsi"/>
          <w:bCs/>
        </w:rPr>
        <w:t xml:space="preserve"> 52</w:t>
      </w:r>
      <w:r w:rsidR="005243B4" w:rsidRPr="00DE3501">
        <w:rPr>
          <w:rFonts w:asciiTheme="minorHAnsi" w:hAnsiTheme="minorHAnsi"/>
          <w:bCs/>
        </w:rPr>
        <w:t xml:space="preserve">, Κριτήριο </w:t>
      </w:r>
      <w:proofErr w:type="spellStart"/>
      <w:r w:rsidR="005243B4" w:rsidRPr="00DE3501">
        <w:rPr>
          <w:rFonts w:asciiTheme="minorHAnsi" w:hAnsiTheme="minorHAnsi"/>
          <w:bCs/>
        </w:rPr>
        <w:t>Νο</w:t>
      </w:r>
      <w:proofErr w:type="spellEnd"/>
      <w:r w:rsidR="005243B4" w:rsidRPr="00DE3501">
        <w:rPr>
          <w:rFonts w:asciiTheme="minorHAnsi" w:hAnsiTheme="minorHAnsi"/>
          <w:bCs/>
        </w:rPr>
        <w:t xml:space="preserve"> 19</w:t>
      </w:r>
      <w:r w:rsidR="005832D0" w:rsidRPr="00DE3501">
        <w:rPr>
          <w:rFonts w:asciiTheme="minorHAnsi" w:hAnsiTheme="minorHAnsi"/>
          <w:bCs/>
        </w:rPr>
        <w:t xml:space="preserve"> για το ΤΠ </w:t>
      </w:r>
      <w:r w:rsidR="005832D0" w:rsidRPr="00DE3501">
        <w:rPr>
          <w:rFonts w:asciiTheme="minorHAnsi" w:hAnsiTheme="minorHAnsi"/>
          <w:bCs/>
          <w:lang w:val="en-US"/>
        </w:rPr>
        <w:t>CLLD</w:t>
      </w:r>
      <w:r w:rsidR="005832D0" w:rsidRPr="00DE3501">
        <w:rPr>
          <w:rFonts w:asciiTheme="minorHAnsi" w:hAnsiTheme="minorHAnsi"/>
          <w:bCs/>
        </w:rPr>
        <w:t>/</w:t>
      </w:r>
      <w:r w:rsidR="005832D0" w:rsidRPr="00DE3501">
        <w:rPr>
          <w:rFonts w:asciiTheme="minorHAnsi" w:hAnsiTheme="minorHAnsi"/>
          <w:bCs/>
          <w:lang w:val="en-US"/>
        </w:rPr>
        <w:t>LEADER</w:t>
      </w:r>
      <w:r w:rsidR="005832D0" w:rsidRPr="00DE3501">
        <w:rPr>
          <w:rFonts w:asciiTheme="minorHAnsi" w:hAnsiTheme="minorHAnsi"/>
          <w:bCs/>
        </w:rPr>
        <w:t xml:space="preserve"> Ν. Ηράκλειου και </w:t>
      </w:r>
      <w:proofErr w:type="spellStart"/>
      <w:r w:rsidR="005832D0" w:rsidRPr="00DE3501">
        <w:rPr>
          <w:rFonts w:asciiTheme="minorHAnsi" w:hAnsiTheme="minorHAnsi"/>
          <w:bCs/>
        </w:rPr>
        <w:t>Κεφ</w:t>
      </w:r>
      <w:proofErr w:type="spellEnd"/>
      <w:r w:rsidR="005832D0" w:rsidRPr="00DE3501">
        <w:rPr>
          <w:rFonts w:asciiTheme="minorHAnsi" w:hAnsiTheme="minorHAnsi"/>
          <w:bCs/>
        </w:rPr>
        <w:t xml:space="preserve"> Α.</w:t>
      </w:r>
      <w:r w:rsidR="005F76B1" w:rsidRPr="00DE3501">
        <w:rPr>
          <w:rFonts w:asciiTheme="minorHAnsi" w:hAnsiTheme="minorHAnsi"/>
          <w:bCs/>
        </w:rPr>
        <w:t>2</w:t>
      </w:r>
      <w:r w:rsidR="005832D0" w:rsidRPr="00DE3501">
        <w:rPr>
          <w:rFonts w:asciiTheme="minorHAnsi" w:hAnsiTheme="minorHAnsi"/>
          <w:bCs/>
        </w:rPr>
        <w:t>,</w:t>
      </w:r>
      <w:r w:rsidR="005243B4" w:rsidRPr="00DE3501">
        <w:rPr>
          <w:rFonts w:asciiTheme="minorHAnsi" w:hAnsiTheme="minorHAnsi"/>
          <w:bCs/>
        </w:rPr>
        <w:t xml:space="preserve"> </w:t>
      </w:r>
      <w:proofErr w:type="spellStart"/>
      <w:r w:rsidR="005243B4" w:rsidRPr="00DE3501">
        <w:rPr>
          <w:rFonts w:asciiTheme="minorHAnsi" w:hAnsiTheme="minorHAnsi"/>
          <w:bCs/>
        </w:rPr>
        <w:t>σελ</w:t>
      </w:r>
      <w:proofErr w:type="spellEnd"/>
      <w:r w:rsidR="005243B4" w:rsidRPr="00DE3501">
        <w:rPr>
          <w:rFonts w:asciiTheme="minorHAnsi" w:hAnsiTheme="minorHAnsi"/>
          <w:bCs/>
        </w:rPr>
        <w:t xml:space="preserve"> 53, Κριτήριο </w:t>
      </w:r>
      <w:proofErr w:type="spellStart"/>
      <w:r w:rsidR="005243B4" w:rsidRPr="00DE3501">
        <w:rPr>
          <w:rFonts w:asciiTheme="minorHAnsi" w:hAnsiTheme="minorHAnsi"/>
          <w:bCs/>
        </w:rPr>
        <w:t>Νο</w:t>
      </w:r>
      <w:proofErr w:type="spellEnd"/>
      <w:r w:rsidR="005243B4" w:rsidRPr="00DE3501">
        <w:rPr>
          <w:rFonts w:asciiTheme="minorHAnsi" w:hAnsiTheme="minorHAnsi"/>
          <w:bCs/>
        </w:rPr>
        <w:t xml:space="preserve"> 19 </w:t>
      </w:r>
      <w:r w:rsidR="005832D0" w:rsidRPr="00DE3501">
        <w:rPr>
          <w:rFonts w:asciiTheme="minorHAnsi" w:hAnsiTheme="minorHAnsi"/>
          <w:bCs/>
        </w:rPr>
        <w:t xml:space="preserve"> για το ΤΠ </w:t>
      </w:r>
      <w:r w:rsidR="005832D0" w:rsidRPr="00DE3501">
        <w:rPr>
          <w:rFonts w:asciiTheme="minorHAnsi" w:hAnsiTheme="minorHAnsi"/>
          <w:bCs/>
          <w:lang w:val="en-US"/>
        </w:rPr>
        <w:t>CLLD</w:t>
      </w:r>
      <w:r w:rsidR="005832D0" w:rsidRPr="00DE3501">
        <w:rPr>
          <w:rFonts w:asciiTheme="minorHAnsi" w:hAnsiTheme="minorHAnsi"/>
          <w:bCs/>
        </w:rPr>
        <w:t>/</w:t>
      </w:r>
      <w:r w:rsidR="005832D0" w:rsidRPr="00DE3501">
        <w:rPr>
          <w:rFonts w:asciiTheme="minorHAnsi" w:hAnsiTheme="minorHAnsi"/>
          <w:bCs/>
          <w:lang w:val="en-US"/>
        </w:rPr>
        <w:t>LEADER</w:t>
      </w:r>
      <w:r w:rsidR="005832D0" w:rsidRPr="00DE3501">
        <w:rPr>
          <w:rFonts w:asciiTheme="minorHAnsi" w:hAnsiTheme="minorHAnsi"/>
          <w:bCs/>
        </w:rPr>
        <w:t xml:space="preserve"> </w:t>
      </w:r>
      <w:proofErr w:type="spellStart"/>
      <w:r w:rsidR="005832D0" w:rsidRPr="00DE3501">
        <w:rPr>
          <w:rFonts w:asciiTheme="minorHAnsi" w:hAnsiTheme="minorHAnsi"/>
          <w:bCs/>
        </w:rPr>
        <w:t>Μεσαράς</w:t>
      </w:r>
      <w:proofErr w:type="spellEnd"/>
      <w:r w:rsidRPr="00DE3501">
        <w:rPr>
          <w:rFonts w:asciiTheme="minorHAnsi" w:hAnsiTheme="minorHAnsi"/>
          <w:bCs/>
        </w:rPr>
        <w:t>).</w:t>
      </w:r>
    </w:p>
    <w:p w:rsidR="00EF61F8" w:rsidRPr="00DE3501" w:rsidRDefault="00EF61F8" w:rsidP="00EF61F8">
      <w:pPr>
        <w:pStyle w:val="a1"/>
        <w:numPr>
          <w:ilvl w:val="0"/>
          <w:numId w:val="5"/>
        </w:numPr>
        <w:spacing w:after="120"/>
        <w:ind w:left="714" w:hanging="357"/>
        <w:contextualSpacing w:val="0"/>
        <w:jc w:val="both"/>
        <w:rPr>
          <w:rFonts w:asciiTheme="minorHAnsi" w:hAnsiTheme="minorHAnsi"/>
          <w:b/>
          <w:bCs/>
        </w:rPr>
      </w:pPr>
      <w:r w:rsidRPr="00DE3501">
        <w:rPr>
          <w:rFonts w:asciiTheme="minorHAnsi" w:hAnsiTheme="minorHAnsi"/>
          <w:b/>
          <w:bCs/>
        </w:rPr>
        <w:t>Αναφορικά με την 1η πρόκληση για την υποβολή προτάσεων (παρεμβάσεις ιδιωτικού χαρακτήρα) θα θέλαμε  να μας διευκρινίσετε τα ακόλουθα:</w:t>
      </w:r>
    </w:p>
    <w:p w:rsidR="00EF61F8" w:rsidRPr="00DE3501" w:rsidRDefault="00EF61F8" w:rsidP="00EF61F8">
      <w:pPr>
        <w:pStyle w:val="a1"/>
        <w:spacing w:after="120"/>
        <w:ind w:left="714"/>
        <w:contextualSpacing w:val="0"/>
        <w:jc w:val="both"/>
        <w:rPr>
          <w:rFonts w:asciiTheme="minorHAnsi" w:hAnsiTheme="minorHAnsi"/>
          <w:b/>
          <w:bCs/>
        </w:rPr>
      </w:pPr>
      <w:r w:rsidRPr="00DE3501">
        <w:rPr>
          <w:rFonts w:asciiTheme="minorHAnsi" w:hAnsiTheme="minorHAnsi"/>
          <w:b/>
          <w:bCs/>
        </w:rPr>
        <w:t xml:space="preserve">Α) Στην </w:t>
      </w:r>
      <w:proofErr w:type="spellStart"/>
      <w:r w:rsidRPr="00DE3501">
        <w:rPr>
          <w:rFonts w:asciiTheme="minorHAnsi" w:hAnsiTheme="minorHAnsi"/>
          <w:b/>
          <w:bCs/>
        </w:rPr>
        <w:t>υποδράση</w:t>
      </w:r>
      <w:proofErr w:type="spellEnd"/>
      <w:r w:rsidRPr="00DE3501">
        <w:rPr>
          <w:rFonts w:asciiTheme="minorHAnsi" w:hAnsiTheme="minorHAnsi"/>
          <w:b/>
          <w:bCs/>
        </w:rPr>
        <w:t xml:space="preserve"> 19.2.3.4 όπου δεν είναι επιλέξιμες οι δαπάνες με Οργανισμούς Κοινής Ωφέλειας, η δαπάνη του ηλεκτρολόγου που θα κάνει τις απαιτούμενες εργασίες για τη σύνδεση με το δίκτυο της ΔΕΔΔΗΕ (εντός του οικοπέδου του φορέα της επένδυσης) θα μπορούσε να είναι επιλέξιμη; </w:t>
      </w:r>
    </w:p>
    <w:p w:rsidR="00EF61F8" w:rsidRPr="00DE3501" w:rsidRDefault="00EF61F8" w:rsidP="00EF61F8">
      <w:pPr>
        <w:pStyle w:val="a1"/>
        <w:spacing w:after="120"/>
        <w:ind w:left="714"/>
        <w:contextualSpacing w:val="0"/>
        <w:jc w:val="both"/>
        <w:rPr>
          <w:rFonts w:asciiTheme="minorHAnsi" w:hAnsiTheme="minorHAnsi"/>
          <w:b/>
          <w:bCs/>
        </w:rPr>
      </w:pPr>
      <w:r w:rsidRPr="00DE3501">
        <w:rPr>
          <w:rFonts w:asciiTheme="minorHAnsi" w:hAnsiTheme="minorHAnsi"/>
          <w:b/>
          <w:bCs/>
        </w:rPr>
        <w:t>Β) Στην περίπτωση προσφορών από e-shop αρκεί ένα print screen του είδους, των τεχνικών χαρακτηριστικών και της τιμής του, ή θα πρέπει να προσκομιστεί προσφορά από το ηλεκτρονικό κατάστημα με σφραγίδα - υπογραφή και αναφορά στην επωνυμία του φορέα της επένδυσης</w:t>
      </w:r>
      <w:r w:rsidR="00BD5152" w:rsidRPr="00DE3501">
        <w:rPr>
          <w:rFonts w:asciiTheme="minorHAnsi" w:hAnsiTheme="minorHAnsi"/>
          <w:b/>
          <w:bCs/>
        </w:rPr>
        <w:t xml:space="preserve"> (15/04/2019);</w:t>
      </w:r>
      <w:r w:rsidRPr="00DE3501">
        <w:rPr>
          <w:rFonts w:asciiTheme="minorHAnsi" w:hAnsiTheme="minorHAnsi"/>
          <w:b/>
          <w:bCs/>
        </w:rPr>
        <w:t xml:space="preserve"> </w:t>
      </w:r>
    </w:p>
    <w:p w:rsidR="000C666D" w:rsidRPr="00DE3501" w:rsidRDefault="000C666D" w:rsidP="000C666D">
      <w:pPr>
        <w:ind w:left="709"/>
        <w:jc w:val="both"/>
        <w:rPr>
          <w:rFonts w:asciiTheme="minorHAnsi" w:hAnsiTheme="minorHAnsi"/>
          <w:b/>
          <w:bCs/>
          <w:u w:val="single"/>
        </w:rPr>
      </w:pPr>
      <w:r w:rsidRPr="00DE3501">
        <w:rPr>
          <w:rFonts w:asciiTheme="minorHAnsi" w:hAnsiTheme="minorHAnsi"/>
          <w:b/>
          <w:bCs/>
          <w:u w:val="single"/>
        </w:rPr>
        <w:t>Απάντηση</w:t>
      </w:r>
    </w:p>
    <w:p w:rsidR="000C666D" w:rsidRPr="00DE3501" w:rsidRDefault="000C666D" w:rsidP="000C666D">
      <w:pPr>
        <w:pStyle w:val="a1"/>
        <w:spacing w:after="60"/>
        <w:contextualSpacing w:val="0"/>
        <w:jc w:val="both"/>
        <w:rPr>
          <w:rFonts w:asciiTheme="minorHAnsi" w:hAnsiTheme="minorHAnsi"/>
          <w:bCs/>
        </w:rPr>
      </w:pPr>
      <w:r w:rsidRPr="00DE3501">
        <w:rPr>
          <w:rFonts w:asciiTheme="minorHAnsi" w:hAnsiTheme="minorHAnsi"/>
          <w:bCs/>
        </w:rPr>
        <w:t>Σε σχέση με τα ερωτήματά σας:</w:t>
      </w:r>
    </w:p>
    <w:p w:rsidR="000C666D" w:rsidRPr="00DE3501" w:rsidRDefault="000C666D" w:rsidP="000C666D">
      <w:pPr>
        <w:pStyle w:val="a1"/>
        <w:spacing w:after="60"/>
        <w:contextualSpacing w:val="0"/>
        <w:jc w:val="both"/>
        <w:rPr>
          <w:rFonts w:asciiTheme="minorHAnsi" w:hAnsiTheme="minorHAnsi"/>
          <w:bCs/>
        </w:rPr>
      </w:pPr>
      <w:r w:rsidRPr="00DE3501">
        <w:rPr>
          <w:rFonts w:asciiTheme="minorHAnsi" w:hAnsiTheme="minorHAnsi"/>
          <w:bCs/>
        </w:rPr>
        <w:t xml:space="preserve">Α) σύμφωνα με την υπ. </w:t>
      </w:r>
      <w:proofErr w:type="spellStart"/>
      <w:r w:rsidRPr="00DE3501">
        <w:rPr>
          <w:rFonts w:asciiTheme="minorHAnsi" w:hAnsiTheme="minorHAnsi"/>
          <w:bCs/>
        </w:rPr>
        <w:t>αριθμ</w:t>
      </w:r>
      <w:proofErr w:type="spellEnd"/>
      <w:r w:rsidRPr="00DE3501">
        <w:rPr>
          <w:rFonts w:asciiTheme="minorHAnsi" w:hAnsiTheme="minorHAnsi"/>
          <w:bCs/>
        </w:rPr>
        <w:t xml:space="preserve">. 1857/7-3-19 διευκρινιστική επιστολή της ΕΥΕ ΠΑΑ 2014-2020 (την οποία θα βρείτε αναρτημένη στην ιστοσελίδα μας στο πεδίο «Συμπληρωματικό – Διευκρινιστικό Υλικό» της πρόσκλησης) – ερώτημα 4, δεν είναι επιλέξιμες οι δαπάνες που δεν καταχωρούνται στα ενσώματα και άυλα πάγια περιουσιακά στοιχεία, όπως είναι τα τέλη σύνδεσης.  </w:t>
      </w:r>
    </w:p>
    <w:p w:rsidR="000C666D" w:rsidRPr="00DE3501" w:rsidRDefault="000C666D" w:rsidP="009F15E5">
      <w:pPr>
        <w:pStyle w:val="a1"/>
        <w:spacing w:after="120"/>
        <w:contextualSpacing w:val="0"/>
        <w:jc w:val="both"/>
        <w:rPr>
          <w:rFonts w:asciiTheme="minorHAnsi" w:hAnsiTheme="minorHAnsi"/>
          <w:bCs/>
        </w:rPr>
      </w:pPr>
      <w:r w:rsidRPr="00DE3501">
        <w:rPr>
          <w:rFonts w:asciiTheme="minorHAnsi" w:hAnsiTheme="minorHAnsi"/>
          <w:bCs/>
        </w:rPr>
        <w:t xml:space="preserve">Β) Ως αποδεικτικά στοιχεία για την τεκμηρίωση του εύλογου κόστους δαπάνης που αφορά σε εξοπλισμό, μπορεί να γίνει αποδεκτή και πρόσφορα από e-shop, εφόσον στην προσφορά αυτή εκτός από την τιμή, φαίνονται και τα τεχνικά χαρακτηριστικά του εξοπλισμού, τα στοιχεία του ηλεκτρονικού καταστήματος (επωνυμία, διεύθυνση ιστοσελίδας </w:t>
      </w:r>
      <w:proofErr w:type="spellStart"/>
      <w:r w:rsidRPr="00DE3501">
        <w:rPr>
          <w:rFonts w:asciiTheme="minorHAnsi" w:hAnsiTheme="minorHAnsi"/>
          <w:bCs/>
        </w:rPr>
        <w:t>κλπ</w:t>
      </w:r>
      <w:proofErr w:type="spellEnd"/>
      <w:r w:rsidRPr="00DE3501">
        <w:rPr>
          <w:rFonts w:asciiTheme="minorHAnsi" w:hAnsiTheme="minorHAnsi"/>
          <w:bCs/>
        </w:rPr>
        <w:t xml:space="preserve">), καθώς και η ημερομηνία εκτύπωσης της προσφοράς. </w:t>
      </w:r>
    </w:p>
    <w:p w:rsidR="003D24A7" w:rsidRPr="00DE3501" w:rsidRDefault="003D24A7" w:rsidP="003D24A7">
      <w:pPr>
        <w:pStyle w:val="a1"/>
        <w:numPr>
          <w:ilvl w:val="0"/>
          <w:numId w:val="5"/>
        </w:numPr>
        <w:spacing w:after="120"/>
        <w:ind w:left="714" w:hanging="357"/>
        <w:contextualSpacing w:val="0"/>
        <w:jc w:val="both"/>
        <w:rPr>
          <w:rFonts w:asciiTheme="minorHAnsi" w:hAnsiTheme="minorHAnsi"/>
          <w:b/>
          <w:bCs/>
        </w:rPr>
      </w:pPr>
      <w:r w:rsidRPr="00DE3501">
        <w:rPr>
          <w:rFonts w:asciiTheme="minorHAnsi" w:hAnsiTheme="minorHAnsi"/>
          <w:b/>
          <w:bCs/>
        </w:rPr>
        <w:t xml:space="preserve">Σε μια </w:t>
      </w:r>
      <w:proofErr w:type="spellStart"/>
      <w:r w:rsidRPr="00DE3501">
        <w:rPr>
          <w:rFonts w:asciiTheme="minorHAnsi" w:hAnsiTheme="minorHAnsi"/>
          <w:b/>
          <w:bCs/>
        </w:rPr>
        <w:t>νεοσυσταθείσα</w:t>
      </w:r>
      <w:proofErr w:type="spellEnd"/>
      <w:r w:rsidRPr="00DE3501">
        <w:rPr>
          <w:rFonts w:asciiTheme="minorHAnsi" w:hAnsiTheme="minorHAnsi"/>
          <w:b/>
          <w:bCs/>
        </w:rPr>
        <w:t xml:space="preserve"> ΙΚΕ ο ένας εκ των δύο εταίρων, που τυγχάνει και σύζυγος της 2ης εταίρου, διαθέτει Τραπεζική Κατάθεση ίση με το 20% του συνολικού κόστους της Επένδυσης (ολοκληρωμένη υποδομή διανυκτέρευσης). Στον ίδιο τραπεζικό λογαριασμό του επενδυτή είναι </w:t>
      </w:r>
      <w:proofErr w:type="spellStart"/>
      <w:r w:rsidRPr="00DE3501">
        <w:rPr>
          <w:rFonts w:asciiTheme="minorHAnsi" w:hAnsiTheme="minorHAnsi"/>
          <w:b/>
          <w:bCs/>
        </w:rPr>
        <w:t>συνδικαιούχος</w:t>
      </w:r>
      <w:proofErr w:type="spellEnd"/>
      <w:r w:rsidRPr="00DE3501">
        <w:rPr>
          <w:rFonts w:asciiTheme="minorHAnsi" w:hAnsiTheme="minorHAnsi"/>
          <w:b/>
          <w:bCs/>
        </w:rPr>
        <w:t xml:space="preserve"> και ένας συνεργάτης του Αυστριακής υπηκοότητας, ο οποίος με Υπεύθυνη Δήλωση θα αποδέχεται να αντλήσει ο επενδυτής το χρηματικό ποσό της κοινής Τραπεζικής Κατάθεσης ώστε να καλύψει το 20% του συνολικού κόστους της Επένδυσης με καταβολή μετρητών για αύξηση του εταιρικού κεφαλαίου της ΙΚΕ για τις ανάγκες της Επένδυσης.</w:t>
      </w:r>
    </w:p>
    <w:p w:rsidR="003D24A7" w:rsidRPr="00DE3501" w:rsidRDefault="003D24A7" w:rsidP="003D24A7">
      <w:pPr>
        <w:pStyle w:val="a1"/>
        <w:spacing w:after="120"/>
        <w:ind w:left="714"/>
        <w:contextualSpacing w:val="0"/>
        <w:jc w:val="both"/>
        <w:rPr>
          <w:rFonts w:asciiTheme="minorHAnsi" w:hAnsiTheme="minorHAnsi"/>
          <w:b/>
          <w:bCs/>
        </w:rPr>
      </w:pPr>
      <w:r w:rsidRPr="00DE3501">
        <w:rPr>
          <w:rFonts w:asciiTheme="minorHAnsi" w:hAnsiTheme="minorHAnsi"/>
          <w:b/>
          <w:bCs/>
        </w:rPr>
        <w:t xml:space="preserve">Είναι αποδεκτή η παραπάνω κατάθεση (15/04/2019); </w:t>
      </w:r>
    </w:p>
    <w:p w:rsidR="003C0E23" w:rsidRPr="00DE3501" w:rsidRDefault="003C0E23" w:rsidP="003C0E23">
      <w:pPr>
        <w:ind w:left="709"/>
        <w:jc w:val="both"/>
        <w:rPr>
          <w:rFonts w:asciiTheme="minorHAnsi" w:hAnsiTheme="minorHAnsi"/>
          <w:b/>
          <w:bCs/>
          <w:u w:val="single"/>
        </w:rPr>
      </w:pPr>
      <w:r w:rsidRPr="00DE3501">
        <w:rPr>
          <w:rFonts w:asciiTheme="minorHAnsi" w:hAnsiTheme="minorHAnsi"/>
          <w:b/>
          <w:bCs/>
          <w:u w:val="single"/>
        </w:rPr>
        <w:t>Απάντηση</w:t>
      </w:r>
    </w:p>
    <w:p w:rsidR="003C0E23" w:rsidRPr="00DE3501" w:rsidRDefault="003C0E23" w:rsidP="003C0E23">
      <w:pPr>
        <w:pStyle w:val="a1"/>
        <w:jc w:val="both"/>
        <w:rPr>
          <w:rFonts w:asciiTheme="minorHAnsi" w:hAnsiTheme="minorHAnsi"/>
          <w:bCs/>
        </w:rPr>
      </w:pPr>
      <w:r w:rsidRPr="00DE3501">
        <w:rPr>
          <w:rFonts w:asciiTheme="minorHAnsi" w:hAnsiTheme="minorHAnsi"/>
          <w:bCs/>
        </w:rPr>
        <w:t xml:space="preserve">Σε σχέση με το ερώτημά σας αναφορικά με τον </w:t>
      </w:r>
      <w:proofErr w:type="spellStart"/>
      <w:r w:rsidRPr="00DE3501">
        <w:rPr>
          <w:rFonts w:asciiTheme="minorHAnsi" w:hAnsiTheme="minorHAnsi"/>
          <w:bCs/>
        </w:rPr>
        <w:t>συνδικαιούχο</w:t>
      </w:r>
      <w:proofErr w:type="spellEnd"/>
      <w:r w:rsidRPr="00DE3501">
        <w:rPr>
          <w:rFonts w:asciiTheme="minorHAnsi" w:hAnsiTheme="minorHAnsi"/>
          <w:bCs/>
        </w:rPr>
        <w:t xml:space="preserve"> σε τραπεζικό λογαριασμό, σας ενημερώνουμε ότι η τραπεζική κατάθεση μαζί με την Υπεύθυνη Δήλωση του </w:t>
      </w:r>
      <w:proofErr w:type="spellStart"/>
      <w:r w:rsidRPr="00DE3501">
        <w:rPr>
          <w:rFonts w:asciiTheme="minorHAnsi" w:hAnsiTheme="minorHAnsi"/>
          <w:bCs/>
        </w:rPr>
        <w:t>συνδικαιούχου</w:t>
      </w:r>
      <w:proofErr w:type="spellEnd"/>
      <w:r w:rsidRPr="00DE3501">
        <w:rPr>
          <w:rFonts w:asciiTheme="minorHAnsi" w:hAnsiTheme="minorHAnsi"/>
          <w:bCs/>
        </w:rPr>
        <w:t>, όπως την περιγράφετε, είναι αποδεκτή.  </w:t>
      </w:r>
    </w:p>
    <w:p w:rsidR="003C0E23" w:rsidRPr="00DE3501" w:rsidRDefault="003C0E23" w:rsidP="00C67D75">
      <w:pPr>
        <w:pStyle w:val="a1"/>
        <w:spacing w:after="60"/>
        <w:contextualSpacing w:val="0"/>
        <w:jc w:val="both"/>
        <w:rPr>
          <w:rFonts w:asciiTheme="minorHAnsi" w:hAnsiTheme="minorHAnsi"/>
          <w:bCs/>
        </w:rPr>
      </w:pPr>
      <w:r w:rsidRPr="00DE3501">
        <w:rPr>
          <w:rFonts w:asciiTheme="minorHAnsi" w:hAnsiTheme="minorHAnsi"/>
          <w:bCs/>
        </w:rPr>
        <w:t>Μην ξεχνάτε ότι όλες οι Υπεύθυνες Δηλώσεις θα πρέπει να έχουν θεώρηση για το γνήσιο της υπογραφής.</w:t>
      </w:r>
    </w:p>
    <w:p w:rsidR="00BB21F0" w:rsidRPr="00DE3501" w:rsidRDefault="00BB21F0" w:rsidP="009F15E5">
      <w:pPr>
        <w:pStyle w:val="a1"/>
        <w:spacing w:after="120"/>
        <w:contextualSpacing w:val="0"/>
        <w:jc w:val="both"/>
        <w:rPr>
          <w:rFonts w:asciiTheme="minorHAnsi" w:hAnsiTheme="minorHAnsi"/>
          <w:bCs/>
        </w:rPr>
      </w:pPr>
      <w:r w:rsidRPr="00DE3501">
        <w:rPr>
          <w:rFonts w:asciiTheme="minorHAnsi" w:hAnsiTheme="minorHAnsi"/>
          <w:bCs/>
        </w:rPr>
        <w:lastRenderedPageBreak/>
        <w:t xml:space="preserve">Ωστόσο, υπενθυμίζουμε ότι ο Τραπεζικός Λογαριασμός στον οποίο κατατίθεται η επιχορήγηση, θα πρέπει να είναι στο όνομα του δικαιούχου (το IBAN θα πρέπει να αντιστοιχεί στην επωνυμία του δικαιούχου και μόνο). </w:t>
      </w:r>
    </w:p>
    <w:p w:rsidR="00055FBF" w:rsidRPr="00DE3501" w:rsidRDefault="00B05869" w:rsidP="00B05869">
      <w:pPr>
        <w:pStyle w:val="a1"/>
        <w:numPr>
          <w:ilvl w:val="0"/>
          <w:numId w:val="5"/>
        </w:numPr>
        <w:tabs>
          <w:tab w:val="num" w:pos="0"/>
          <w:tab w:val="left" w:pos="6833"/>
        </w:tabs>
        <w:jc w:val="both"/>
        <w:rPr>
          <w:rFonts w:asciiTheme="minorHAnsi" w:hAnsiTheme="minorHAnsi"/>
          <w:b/>
        </w:rPr>
      </w:pPr>
      <w:r w:rsidRPr="00DE3501">
        <w:rPr>
          <w:rFonts w:asciiTheme="minorHAnsi" w:hAnsiTheme="minorHAnsi"/>
          <w:b/>
        </w:rPr>
        <w:t xml:space="preserve">Η μελέτη περιβαλλοντικών επιπτώσεων είναι </w:t>
      </w:r>
      <w:proofErr w:type="spellStart"/>
      <w:r w:rsidRPr="00DE3501">
        <w:rPr>
          <w:rFonts w:asciiTheme="minorHAnsi" w:hAnsiTheme="minorHAnsi"/>
          <w:b/>
        </w:rPr>
        <w:t>προαπαιτούμενη</w:t>
      </w:r>
      <w:proofErr w:type="spellEnd"/>
      <w:r w:rsidRPr="00DE3501">
        <w:rPr>
          <w:rFonts w:asciiTheme="minorHAnsi" w:hAnsiTheme="minorHAnsi"/>
          <w:b/>
        </w:rPr>
        <w:t xml:space="preserve"> σε όλες τις </w:t>
      </w:r>
      <w:proofErr w:type="spellStart"/>
      <w:r w:rsidRPr="00DE3501">
        <w:rPr>
          <w:rFonts w:asciiTheme="minorHAnsi" w:hAnsiTheme="minorHAnsi"/>
          <w:b/>
        </w:rPr>
        <w:t>υποδράσεις</w:t>
      </w:r>
      <w:proofErr w:type="spellEnd"/>
      <w:r w:rsidR="006E7F5A">
        <w:rPr>
          <w:rFonts w:asciiTheme="minorHAnsi" w:hAnsiTheme="minorHAnsi"/>
          <w:b/>
        </w:rPr>
        <w:t xml:space="preserve"> (22-4-2019)</w:t>
      </w:r>
      <w:r w:rsidRPr="00DE3501">
        <w:rPr>
          <w:rFonts w:asciiTheme="minorHAnsi" w:hAnsiTheme="minorHAnsi"/>
          <w:b/>
        </w:rPr>
        <w:t>?</w:t>
      </w:r>
    </w:p>
    <w:p w:rsidR="00C72CA8" w:rsidRPr="00DE3501" w:rsidRDefault="00C72CA8" w:rsidP="00B05869">
      <w:pPr>
        <w:pStyle w:val="a1"/>
        <w:jc w:val="both"/>
        <w:rPr>
          <w:rFonts w:asciiTheme="minorHAnsi" w:hAnsiTheme="minorHAnsi"/>
          <w:b/>
          <w:bCs/>
          <w:u w:val="single"/>
        </w:rPr>
      </w:pPr>
    </w:p>
    <w:p w:rsidR="00B05869" w:rsidRPr="00DE3501" w:rsidRDefault="00B05869" w:rsidP="00B05869">
      <w:pPr>
        <w:pStyle w:val="a1"/>
        <w:jc w:val="both"/>
        <w:rPr>
          <w:rFonts w:asciiTheme="minorHAnsi" w:hAnsiTheme="minorHAnsi"/>
          <w:b/>
          <w:bCs/>
          <w:u w:val="single"/>
        </w:rPr>
      </w:pPr>
      <w:r w:rsidRPr="00DE3501">
        <w:rPr>
          <w:rFonts w:asciiTheme="minorHAnsi" w:hAnsiTheme="minorHAnsi"/>
          <w:b/>
          <w:bCs/>
          <w:u w:val="single"/>
        </w:rPr>
        <w:t>Απάντηση</w:t>
      </w:r>
    </w:p>
    <w:p w:rsidR="00300A4C" w:rsidRPr="00DE3501" w:rsidRDefault="00300A4C" w:rsidP="00300A4C">
      <w:pPr>
        <w:pStyle w:val="a1"/>
        <w:contextualSpacing w:val="0"/>
        <w:jc w:val="both"/>
        <w:rPr>
          <w:rFonts w:asciiTheme="minorHAnsi" w:hAnsiTheme="minorHAnsi"/>
          <w:bCs/>
        </w:rPr>
      </w:pPr>
      <w:r w:rsidRPr="00DE3501">
        <w:rPr>
          <w:rFonts w:asciiTheme="minorHAnsi" w:hAnsiTheme="minorHAnsi"/>
          <w:bCs/>
        </w:rPr>
        <w:t xml:space="preserve">Η άδεια περιβαλλοντικών επιπτώσεων αποτελεί κριτήριο </w:t>
      </w:r>
      <w:proofErr w:type="spellStart"/>
      <w:r w:rsidRPr="00DE3501">
        <w:rPr>
          <w:rFonts w:asciiTheme="minorHAnsi" w:hAnsiTheme="minorHAnsi"/>
          <w:bCs/>
        </w:rPr>
        <w:t>επιλεξιμότητας</w:t>
      </w:r>
      <w:proofErr w:type="spellEnd"/>
      <w:r w:rsidRPr="00DE3501">
        <w:rPr>
          <w:rFonts w:asciiTheme="minorHAnsi" w:hAnsiTheme="minorHAnsi"/>
          <w:bCs/>
        </w:rPr>
        <w:t xml:space="preserve"> (αποκλεισμού) για όλες τις </w:t>
      </w:r>
      <w:proofErr w:type="spellStart"/>
      <w:r w:rsidRPr="00DE3501">
        <w:rPr>
          <w:rFonts w:asciiTheme="minorHAnsi" w:hAnsiTheme="minorHAnsi"/>
          <w:bCs/>
        </w:rPr>
        <w:t>υποδράσεις</w:t>
      </w:r>
      <w:proofErr w:type="spellEnd"/>
      <w:r w:rsidRPr="00DE3501">
        <w:rPr>
          <w:rFonts w:asciiTheme="minorHAnsi" w:hAnsiTheme="minorHAnsi"/>
          <w:bCs/>
        </w:rPr>
        <w:t xml:space="preserve"> (βλ. σελ. 53, σημείο 24 ενημερωτικού οδηγού πρόσκλησης). Στην αίτηση στήριξης θα πρέπει να υπάρχει είτε η άδεια περιβαλλοντικών επιπτώσεων (ή απαλλαγή) είτε υπεύθυνη δήλωση ότι θα προσκομιστεί, σύμφωνα με τα οριζόμενα στον ενημερωτικό οδηγό. Επομένως, στις επιχειρήσεις που δεν απαιτείται θα προσκομίζεται η σχετική απαλλαγή από την αρμόδια υπηρεσία. Σε ότι αφορά την περιγραφή των αδειών, αυτές μπορούν να αποτυπωθούν στο σημείο τεκμηρίωσης της ετοιμότητας του φορέα (σημείο 3.3 των «Συμπληρωματικών στοιχείων Αίτησης Στήριξης» - Παράρτημα Γ2 της πρόσκλησης).</w:t>
      </w:r>
    </w:p>
    <w:p w:rsidR="00300A4C" w:rsidRPr="00DE3501" w:rsidRDefault="00300A4C" w:rsidP="00300A4C">
      <w:pPr>
        <w:jc w:val="both"/>
        <w:rPr>
          <w:rFonts w:asciiTheme="minorHAnsi" w:hAnsiTheme="minorHAnsi"/>
          <w:bCs/>
        </w:rPr>
      </w:pPr>
    </w:p>
    <w:p w:rsidR="00300A4C" w:rsidRPr="00DE3501" w:rsidRDefault="00300A4C" w:rsidP="00300A4C">
      <w:pPr>
        <w:pStyle w:val="a1"/>
        <w:numPr>
          <w:ilvl w:val="0"/>
          <w:numId w:val="5"/>
        </w:numPr>
        <w:tabs>
          <w:tab w:val="num" w:pos="0"/>
          <w:tab w:val="left" w:pos="6833"/>
        </w:tabs>
        <w:jc w:val="both"/>
        <w:rPr>
          <w:rFonts w:asciiTheme="minorHAnsi" w:hAnsiTheme="minorHAnsi"/>
          <w:b/>
        </w:rPr>
      </w:pPr>
      <w:r w:rsidRPr="00DE3501">
        <w:rPr>
          <w:rFonts w:asciiTheme="minorHAnsi" w:hAnsiTheme="minorHAnsi"/>
          <w:b/>
        </w:rPr>
        <w:t xml:space="preserve">Η ίδρυση </w:t>
      </w:r>
      <w:proofErr w:type="spellStart"/>
      <w:r w:rsidRPr="00DE3501">
        <w:rPr>
          <w:rFonts w:asciiTheme="minorHAnsi" w:hAnsiTheme="minorHAnsi"/>
          <w:b/>
        </w:rPr>
        <w:t>αποστακτηρίων</w:t>
      </w:r>
      <w:proofErr w:type="spellEnd"/>
      <w:r w:rsidRPr="00DE3501">
        <w:rPr>
          <w:rFonts w:asciiTheme="minorHAnsi" w:hAnsiTheme="minorHAnsi"/>
          <w:b/>
        </w:rPr>
        <w:t xml:space="preserve"> για παραγωγή τσικουδιάς από φυσικό πρόσωπο (κατά κύριο επάγγελμα αγρότη) είναι επιλέξιμη δραστηριότητα στο πρόγραμμα </w:t>
      </w:r>
      <w:proofErr w:type="spellStart"/>
      <w:r w:rsidRPr="00DE3501">
        <w:rPr>
          <w:rFonts w:asciiTheme="minorHAnsi" w:hAnsiTheme="minorHAnsi"/>
          <w:b/>
        </w:rPr>
        <w:t>Leader</w:t>
      </w:r>
      <w:proofErr w:type="spellEnd"/>
      <w:r w:rsidRPr="00DE3501">
        <w:rPr>
          <w:rFonts w:asciiTheme="minorHAnsi" w:hAnsiTheme="minorHAnsi"/>
          <w:b/>
        </w:rPr>
        <w:t>?</w:t>
      </w:r>
      <w:r w:rsidR="006E7F5A">
        <w:rPr>
          <w:rFonts w:asciiTheme="minorHAnsi" w:hAnsiTheme="minorHAnsi"/>
          <w:b/>
        </w:rPr>
        <w:t xml:space="preserve"> (22-4-2019)</w:t>
      </w:r>
    </w:p>
    <w:p w:rsidR="00C72CA8" w:rsidRPr="00DE3501" w:rsidRDefault="00C72CA8" w:rsidP="00300A4C">
      <w:pPr>
        <w:pStyle w:val="a1"/>
        <w:jc w:val="both"/>
        <w:rPr>
          <w:rFonts w:asciiTheme="minorHAnsi" w:hAnsiTheme="minorHAnsi"/>
          <w:b/>
          <w:bCs/>
          <w:u w:val="single"/>
        </w:rPr>
      </w:pPr>
    </w:p>
    <w:p w:rsidR="00300A4C" w:rsidRPr="00DE3501" w:rsidRDefault="00300A4C" w:rsidP="00300A4C">
      <w:pPr>
        <w:pStyle w:val="a1"/>
        <w:jc w:val="both"/>
        <w:rPr>
          <w:rFonts w:asciiTheme="minorHAnsi" w:hAnsiTheme="minorHAnsi"/>
          <w:b/>
          <w:bCs/>
          <w:u w:val="single"/>
        </w:rPr>
      </w:pPr>
      <w:r w:rsidRPr="00DE3501">
        <w:rPr>
          <w:rFonts w:asciiTheme="minorHAnsi" w:hAnsiTheme="minorHAnsi"/>
          <w:b/>
          <w:bCs/>
          <w:u w:val="single"/>
        </w:rPr>
        <w:t>Απάντηση</w:t>
      </w:r>
    </w:p>
    <w:p w:rsidR="00300A4C" w:rsidRPr="00DE3501" w:rsidRDefault="00300A4C" w:rsidP="00300A4C">
      <w:pPr>
        <w:pStyle w:val="a1"/>
        <w:contextualSpacing w:val="0"/>
        <w:jc w:val="both"/>
        <w:rPr>
          <w:rFonts w:asciiTheme="minorHAnsi" w:hAnsiTheme="minorHAnsi"/>
          <w:bCs/>
        </w:rPr>
      </w:pPr>
      <w:r w:rsidRPr="00DE3501">
        <w:rPr>
          <w:rFonts w:asciiTheme="minorHAnsi" w:hAnsiTheme="minorHAnsi"/>
          <w:bCs/>
        </w:rPr>
        <w:t xml:space="preserve">Για τον τύπο των επενδύσεων που χρηματοδοτούνται, θα πρέπει να συμβουλεύεστε το παράρτημα Δ της πρόσκλησης, που έχει όλους τους επιλέξιμους ΚΑΔ ανά </w:t>
      </w:r>
      <w:proofErr w:type="spellStart"/>
      <w:r w:rsidRPr="00DE3501">
        <w:rPr>
          <w:rFonts w:asciiTheme="minorHAnsi" w:hAnsiTheme="minorHAnsi"/>
          <w:bCs/>
        </w:rPr>
        <w:t>υποδράση</w:t>
      </w:r>
      <w:proofErr w:type="spellEnd"/>
      <w:r w:rsidRPr="00DE3501">
        <w:rPr>
          <w:rFonts w:asciiTheme="minorHAnsi" w:hAnsiTheme="minorHAnsi"/>
          <w:bCs/>
        </w:rPr>
        <w:t xml:space="preserve">. </w:t>
      </w:r>
    </w:p>
    <w:p w:rsidR="00300A4C" w:rsidRPr="00DE3501" w:rsidRDefault="00300A4C" w:rsidP="00300A4C">
      <w:pPr>
        <w:pStyle w:val="a1"/>
        <w:contextualSpacing w:val="0"/>
        <w:jc w:val="both"/>
        <w:rPr>
          <w:rFonts w:asciiTheme="minorHAnsi" w:hAnsiTheme="minorHAnsi"/>
          <w:bCs/>
        </w:rPr>
      </w:pPr>
    </w:p>
    <w:p w:rsidR="006E7F5A" w:rsidRDefault="00300A4C" w:rsidP="00300A4C">
      <w:pPr>
        <w:pStyle w:val="a1"/>
        <w:numPr>
          <w:ilvl w:val="0"/>
          <w:numId w:val="5"/>
        </w:numPr>
        <w:jc w:val="both"/>
        <w:rPr>
          <w:rFonts w:asciiTheme="minorHAnsi" w:hAnsiTheme="minorHAnsi"/>
          <w:b/>
        </w:rPr>
      </w:pPr>
      <w:r w:rsidRPr="00DE3501">
        <w:rPr>
          <w:rFonts w:asciiTheme="minorHAnsi" w:hAnsiTheme="minorHAnsi"/>
          <w:b/>
        </w:rPr>
        <w:t xml:space="preserve">Οι δαπάνες για διαμόρφωση περιβάλλοντος χώρου προκειμένου να εξυπηρετούνται οι ανάγκες της επένδυσης, είναι επιλέξιμες για ποσό μέχρι το 10% (ή 15%) των συνολικών επιλέξιμων δαπανών της πράξης ακόμα και για τις </w:t>
      </w:r>
      <w:proofErr w:type="spellStart"/>
      <w:r w:rsidRPr="00DE3501">
        <w:rPr>
          <w:rFonts w:asciiTheme="minorHAnsi" w:hAnsiTheme="minorHAnsi"/>
          <w:b/>
        </w:rPr>
        <w:t>υποδράσεις</w:t>
      </w:r>
      <w:proofErr w:type="spellEnd"/>
      <w:r w:rsidRPr="00DE3501">
        <w:rPr>
          <w:rFonts w:asciiTheme="minorHAnsi" w:hAnsiTheme="minorHAnsi"/>
          <w:b/>
        </w:rPr>
        <w:t xml:space="preserve"> 19.2.3.1, 19.2.3.3?</w:t>
      </w:r>
      <w:r w:rsidR="006E7F5A">
        <w:rPr>
          <w:rFonts w:asciiTheme="minorHAnsi" w:hAnsiTheme="minorHAnsi"/>
          <w:b/>
        </w:rPr>
        <w:t xml:space="preserve"> </w:t>
      </w:r>
    </w:p>
    <w:p w:rsidR="00300A4C" w:rsidRPr="00DE3501" w:rsidRDefault="006E7F5A" w:rsidP="006E7F5A">
      <w:pPr>
        <w:pStyle w:val="a1"/>
        <w:jc w:val="both"/>
        <w:rPr>
          <w:rFonts w:asciiTheme="minorHAnsi" w:hAnsiTheme="minorHAnsi"/>
          <w:b/>
        </w:rPr>
      </w:pPr>
      <w:r>
        <w:rPr>
          <w:rFonts w:asciiTheme="minorHAnsi" w:hAnsiTheme="minorHAnsi"/>
          <w:b/>
        </w:rPr>
        <w:t>(22-4-2019)</w:t>
      </w:r>
    </w:p>
    <w:p w:rsidR="00C72CA8" w:rsidRPr="00DE3501" w:rsidRDefault="00C72CA8" w:rsidP="00300A4C">
      <w:pPr>
        <w:pStyle w:val="a1"/>
        <w:jc w:val="both"/>
        <w:rPr>
          <w:rFonts w:asciiTheme="minorHAnsi" w:hAnsiTheme="minorHAnsi"/>
          <w:b/>
          <w:bCs/>
          <w:u w:val="single"/>
        </w:rPr>
      </w:pPr>
    </w:p>
    <w:p w:rsidR="00300A4C" w:rsidRPr="00DE3501" w:rsidRDefault="00300A4C" w:rsidP="00300A4C">
      <w:pPr>
        <w:pStyle w:val="a1"/>
        <w:jc w:val="both"/>
        <w:rPr>
          <w:rFonts w:asciiTheme="minorHAnsi" w:hAnsiTheme="minorHAnsi"/>
          <w:b/>
          <w:bCs/>
          <w:u w:val="single"/>
        </w:rPr>
      </w:pPr>
      <w:r w:rsidRPr="00DE3501">
        <w:rPr>
          <w:rFonts w:asciiTheme="minorHAnsi" w:hAnsiTheme="minorHAnsi"/>
          <w:b/>
          <w:bCs/>
          <w:u w:val="single"/>
        </w:rPr>
        <w:t>Απάντηση</w:t>
      </w:r>
    </w:p>
    <w:p w:rsidR="00300A4C" w:rsidRPr="00DE3501" w:rsidRDefault="00300A4C" w:rsidP="00300A4C">
      <w:pPr>
        <w:pStyle w:val="a1"/>
        <w:contextualSpacing w:val="0"/>
        <w:jc w:val="both"/>
        <w:rPr>
          <w:rFonts w:asciiTheme="minorHAnsi" w:hAnsiTheme="minorHAnsi"/>
          <w:lang w:eastAsia="en-US"/>
        </w:rPr>
      </w:pPr>
      <w:r w:rsidRPr="00DE3501">
        <w:rPr>
          <w:rFonts w:asciiTheme="minorHAnsi" w:hAnsiTheme="minorHAnsi"/>
          <w:lang w:eastAsia="en-US"/>
        </w:rPr>
        <w:t xml:space="preserve">Οι δαπάνες για τη διαμόρφωση περιβάλλοντος χώρου μαζί με την αγορά γης, δεν μπορούν να ξεπερνούν το 10% των συνολικών επιλέξιμων δαπανών της πράξης (ή το 15% εφόσον αφορά βιομηχανική εγκατάσταση), σύμφωνα με τα οριζόμενα στο άρθρο 5.2.1, σημείο 1 της πρόσκλησης. Ο περιορισμός αυτό αφορά σε όλες τις </w:t>
      </w:r>
      <w:proofErr w:type="spellStart"/>
      <w:r w:rsidRPr="00DE3501">
        <w:rPr>
          <w:rFonts w:asciiTheme="minorHAnsi" w:hAnsiTheme="minorHAnsi"/>
          <w:lang w:eastAsia="en-US"/>
        </w:rPr>
        <w:t>προκηρυσσόμενες</w:t>
      </w:r>
      <w:proofErr w:type="spellEnd"/>
      <w:r w:rsidRPr="00DE3501">
        <w:rPr>
          <w:rFonts w:asciiTheme="minorHAnsi" w:hAnsiTheme="minorHAnsi"/>
          <w:lang w:eastAsia="en-US"/>
        </w:rPr>
        <w:t xml:space="preserve"> </w:t>
      </w:r>
      <w:proofErr w:type="spellStart"/>
      <w:r w:rsidRPr="00DE3501">
        <w:rPr>
          <w:rFonts w:asciiTheme="minorHAnsi" w:hAnsiTheme="minorHAnsi"/>
          <w:lang w:eastAsia="en-US"/>
        </w:rPr>
        <w:t>υποδράσεις</w:t>
      </w:r>
      <w:proofErr w:type="spellEnd"/>
      <w:r w:rsidRPr="00DE3501">
        <w:rPr>
          <w:rFonts w:asciiTheme="minorHAnsi" w:hAnsiTheme="minorHAnsi"/>
          <w:lang w:eastAsia="en-US"/>
        </w:rPr>
        <w:t xml:space="preserve">.  </w:t>
      </w:r>
    </w:p>
    <w:p w:rsidR="00C1141C" w:rsidRPr="00DE3501" w:rsidRDefault="00C1141C" w:rsidP="00300A4C">
      <w:pPr>
        <w:pStyle w:val="a1"/>
        <w:contextualSpacing w:val="0"/>
        <w:jc w:val="both"/>
        <w:rPr>
          <w:rFonts w:asciiTheme="minorHAnsi" w:hAnsiTheme="minorHAnsi"/>
          <w:lang w:eastAsia="en-US"/>
        </w:rPr>
      </w:pPr>
    </w:p>
    <w:p w:rsidR="00C1141C" w:rsidRPr="00DE3501" w:rsidRDefault="00C1141C" w:rsidP="00C1141C">
      <w:pPr>
        <w:pStyle w:val="a1"/>
        <w:numPr>
          <w:ilvl w:val="0"/>
          <w:numId w:val="5"/>
        </w:numPr>
        <w:jc w:val="both"/>
        <w:rPr>
          <w:rFonts w:asciiTheme="minorHAnsi" w:hAnsiTheme="minorHAnsi"/>
          <w:b/>
        </w:rPr>
      </w:pPr>
      <w:r w:rsidRPr="00DE3501">
        <w:rPr>
          <w:rFonts w:asciiTheme="minorHAnsi" w:hAnsiTheme="minorHAnsi"/>
          <w:b/>
        </w:rPr>
        <w:t xml:space="preserve">Ο ποιοτικός εκσυγχρονισμός υφιστάμενων τουριστικών επιχειρήσεων (τουριστικά καταλύματα) μπορεί να ενταχθεί μόνο στην </w:t>
      </w:r>
      <w:proofErr w:type="spellStart"/>
      <w:r w:rsidRPr="00DE3501">
        <w:rPr>
          <w:rFonts w:asciiTheme="minorHAnsi" w:hAnsiTheme="minorHAnsi"/>
          <w:b/>
        </w:rPr>
        <w:t>υποδράση</w:t>
      </w:r>
      <w:proofErr w:type="spellEnd"/>
      <w:r w:rsidRPr="00DE3501">
        <w:rPr>
          <w:rFonts w:asciiTheme="minorHAnsi" w:hAnsiTheme="minorHAnsi"/>
          <w:b/>
        </w:rPr>
        <w:t xml:space="preserve"> 19.2.2.3 αν πληρούνται οι σχετικές προϋποθέσεις? Στην </w:t>
      </w:r>
      <w:proofErr w:type="spellStart"/>
      <w:r w:rsidRPr="00DE3501">
        <w:rPr>
          <w:rFonts w:asciiTheme="minorHAnsi" w:hAnsiTheme="minorHAnsi"/>
          <w:b/>
        </w:rPr>
        <w:t>υποδράση</w:t>
      </w:r>
      <w:proofErr w:type="spellEnd"/>
      <w:r w:rsidRPr="00DE3501">
        <w:rPr>
          <w:rFonts w:asciiTheme="minorHAnsi" w:hAnsiTheme="minorHAnsi"/>
          <w:b/>
        </w:rPr>
        <w:t xml:space="preserve"> 19.2.3.3 εντάσσονται μόνο επενδύσεις ίδρυσης ή επέκτασης και όχι εκσυγχρονισμού?</w:t>
      </w:r>
      <w:r w:rsidR="006E7F5A">
        <w:rPr>
          <w:rFonts w:asciiTheme="minorHAnsi" w:hAnsiTheme="minorHAnsi"/>
          <w:b/>
        </w:rPr>
        <w:t xml:space="preserve"> (22-4-2019)</w:t>
      </w:r>
    </w:p>
    <w:p w:rsidR="00C72CA8" w:rsidRPr="00DE3501" w:rsidRDefault="00C72CA8" w:rsidP="00C1141C">
      <w:pPr>
        <w:pStyle w:val="a1"/>
        <w:jc w:val="both"/>
        <w:rPr>
          <w:rFonts w:asciiTheme="minorHAnsi" w:hAnsiTheme="minorHAnsi"/>
          <w:b/>
          <w:bCs/>
          <w:u w:val="single"/>
        </w:rPr>
      </w:pPr>
    </w:p>
    <w:p w:rsidR="00C1141C" w:rsidRPr="00DE3501" w:rsidRDefault="00C1141C" w:rsidP="00C1141C">
      <w:pPr>
        <w:pStyle w:val="a1"/>
        <w:jc w:val="both"/>
        <w:rPr>
          <w:rFonts w:asciiTheme="minorHAnsi" w:hAnsiTheme="minorHAnsi"/>
          <w:b/>
          <w:bCs/>
          <w:u w:val="single"/>
        </w:rPr>
      </w:pPr>
      <w:r w:rsidRPr="00DE3501">
        <w:rPr>
          <w:rFonts w:asciiTheme="minorHAnsi" w:hAnsiTheme="minorHAnsi"/>
          <w:b/>
          <w:bCs/>
          <w:u w:val="single"/>
        </w:rPr>
        <w:t>Απάντηση</w:t>
      </w:r>
    </w:p>
    <w:p w:rsidR="00300A4C" w:rsidRDefault="00300A4C" w:rsidP="00C1141C">
      <w:pPr>
        <w:pStyle w:val="a1"/>
        <w:contextualSpacing w:val="0"/>
        <w:jc w:val="both"/>
        <w:rPr>
          <w:rFonts w:asciiTheme="minorHAnsi" w:hAnsiTheme="minorHAnsi"/>
          <w:i/>
          <w:iCs/>
          <w:lang w:eastAsia="en-US"/>
        </w:rPr>
      </w:pPr>
      <w:r w:rsidRPr="00DE3501">
        <w:rPr>
          <w:rFonts w:asciiTheme="minorHAnsi" w:hAnsiTheme="minorHAnsi"/>
          <w:lang w:eastAsia="en-US"/>
        </w:rPr>
        <w:t xml:space="preserve">Ποιοτικός εκσυγχρονισμός καταλυμάτων, μπορεί να ενταχθεί μόνο στην </w:t>
      </w:r>
      <w:proofErr w:type="spellStart"/>
      <w:r w:rsidRPr="00DE3501">
        <w:rPr>
          <w:rFonts w:asciiTheme="minorHAnsi" w:hAnsiTheme="minorHAnsi"/>
          <w:lang w:eastAsia="en-US"/>
        </w:rPr>
        <w:t>υποδράση</w:t>
      </w:r>
      <w:proofErr w:type="spellEnd"/>
      <w:r w:rsidRPr="00DE3501">
        <w:rPr>
          <w:rFonts w:asciiTheme="minorHAnsi" w:hAnsiTheme="minorHAnsi"/>
          <w:lang w:eastAsia="en-US"/>
        </w:rPr>
        <w:t xml:space="preserve"> 19.2.2.3. Η </w:t>
      </w:r>
      <w:proofErr w:type="spellStart"/>
      <w:r w:rsidRPr="00DE3501">
        <w:rPr>
          <w:rFonts w:asciiTheme="minorHAnsi" w:hAnsiTheme="minorHAnsi"/>
          <w:lang w:eastAsia="en-US"/>
        </w:rPr>
        <w:t>υποδράση</w:t>
      </w:r>
      <w:proofErr w:type="spellEnd"/>
      <w:r w:rsidRPr="00DE3501">
        <w:rPr>
          <w:rFonts w:asciiTheme="minorHAnsi" w:hAnsiTheme="minorHAnsi"/>
          <w:lang w:eastAsia="en-US"/>
        </w:rPr>
        <w:t xml:space="preserve"> 19.2.3.3 αφορά μόνο σε δημιουργία ή επέκταση καταλύματος με την έννοια της αρχικής επένδυσης, σύμφωνα με τα οριζόμενα στο άρθρο 14 του ΚΑΝ 651/2014 </w:t>
      </w:r>
      <w:r w:rsidRPr="00DE3501">
        <w:rPr>
          <w:rFonts w:asciiTheme="minorHAnsi" w:hAnsiTheme="minorHAnsi"/>
          <w:lang w:eastAsia="en-US"/>
        </w:rPr>
        <w:lastRenderedPageBreak/>
        <w:t xml:space="preserve">(βλ. και ορισμό στο άρθρο 2 του ΚΑΝ 651/2014 - </w:t>
      </w:r>
      <w:r w:rsidRPr="00DE3501">
        <w:rPr>
          <w:rFonts w:asciiTheme="minorHAnsi" w:hAnsiTheme="minorHAnsi"/>
          <w:i/>
          <w:iCs/>
          <w:lang w:eastAsia="en-US"/>
        </w:rPr>
        <w:t>«αρχική επένδυση»: α) η επένδυση σε ενσώματα και άυλα στοιχεία ενεργητικού</w:t>
      </w:r>
      <w:r w:rsidRPr="00DE3501">
        <w:rPr>
          <w:rFonts w:asciiTheme="minorHAnsi" w:hAnsiTheme="minorHAnsi"/>
          <w:lang w:eastAsia="en-US"/>
        </w:rPr>
        <w:t xml:space="preserve"> </w:t>
      </w:r>
      <w:r w:rsidRPr="00DE3501">
        <w:rPr>
          <w:rFonts w:asciiTheme="minorHAnsi" w:hAnsiTheme="minorHAnsi"/>
          <w:i/>
          <w:iCs/>
          <w:lang w:eastAsia="en-US"/>
        </w:rPr>
        <w:t>σε σχέση με τη δημιουργία νέας επιχειρηματικής εγκατάστασης, ………»).</w:t>
      </w:r>
    </w:p>
    <w:p w:rsidR="00DE3501" w:rsidRPr="00DE3501" w:rsidRDefault="00DE3501" w:rsidP="00C1141C">
      <w:pPr>
        <w:pStyle w:val="a1"/>
        <w:contextualSpacing w:val="0"/>
        <w:jc w:val="both"/>
        <w:rPr>
          <w:rFonts w:asciiTheme="minorHAnsi" w:hAnsiTheme="minorHAnsi"/>
          <w:lang w:eastAsia="en-US"/>
        </w:rPr>
      </w:pPr>
    </w:p>
    <w:p w:rsidR="00C1141C" w:rsidRPr="00DE3501" w:rsidRDefault="00C1141C" w:rsidP="006E7F5A">
      <w:pPr>
        <w:pStyle w:val="a1"/>
        <w:numPr>
          <w:ilvl w:val="0"/>
          <w:numId w:val="5"/>
        </w:numPr>
        <w:jc w:val="both"/>
        <w:rPr>
          <w:rFonts w:asciiTheme="minorHAnsi" w:hAnsiTheme="minorHAnsi"/>
          <w:b/>
        </w:rPr>
      </w:pPr>
      <w:r w:rsidRPr="00DE3501">
        <w:rPr>
          <w:rFonts w:asciiTheme="minorHAnsi" w:hAnsiTheme="minorHAnsi"/>
          <w:b/>
        </w:rPr>
        <w:t xml:space="preserve">Στις περιπτώσεις </w:t>
      </w:r>
      <w:proofErr w:type="spellStart"/>
      <w:r w:rsidRPr="00DE3501">
        <w:rPr>
          <w:rFonts w:asciiTheme="minorHAnsi" w:hAnsiTheme="minorHAnsi"/>
          <w:b/>
        </w:rPr>
        <w:t>οινοτουρισμού</w:t>
      </w:r>
      <w:proofErr w:type="spellEnd"/>
      <w:r w:rsidRPr="00DE3501">
        <w:rPr>
          <w:rFonts w:asciiTheme="minorHAnsi" w:hAnsiTheme="minorHAnsi"/>
          <w:b/>
        </w:rPr>
        <w:t xml:space="preserve">, αν δεν υπάρχει το σχετικό σήμα επισκέψιμου οινοποιείου, μπορεί να υποβληθεί πρόταση στη σχετική </w:t>
      </w:r>
      <w:proofErr w:type="spellStart"/>
      <w:r w:rsidRPr="00DE3501">
        <w:rPr>
          <w:rFonts w:asciiTheme="minorHAnsi" w:hAnsiTheme="minorHAnsi"/>
          <w:b/>
        </w:rPr>
        <w:t>υποδράση</w:t>
      </w:r>
      <w:proofErr w:type="spellEnd"/>
      <w:r w:rsidRPr="00DE3501">
        <w:rPr>
          <w:rFonts w:asciiTheme="minorHAnsi" w:hAnsiTheme="minorHAnsi"/>
          <w:b/>
        </w:rPr>
        <w:t xml:space="preserve"> (19.2.2.3 ή 19.2.3.3)? </w:t>
      </w:r>
    </w:p>
    <w:p w:rsidR="00C72CA8" w:rsidRPr="00DE3501" w:rsidRDefault="006E7F5A" w:rsidP="00C1141C">
      <w:pPr>
        <w:pStyle w:val="a1"/>
        <w:jc w:val="both"/>
        <w:rPr>
          <w:rFonts w:asciiTheme="minorHAnsi" w:hAnsiTheme="minorHAnsi"/>
          <w:b/>
          <w:bCs/>
          <w:u w:val="single"/>
        </w:rPr>
      </w:pPr>
      <w:r>
        <w:rPr>
          <w:rFonts w:asciiTheme="minorHAnsi" w:hAnsiTheme="minorHAnsi"/>
          <w:b/>
        </w:rPr>
        <w:t>(22-4-2019)</w:t>
      </w:r>
    </w:p>
    <w:p w:rsidR="00C1141C" w:rsidRPr="00DE3501" w:rsidRDefault="00C1141C" w:rsidP="00C1141C">
      <w:pPr>
        <w:pStyle w:val="a1"/>
        <w:jc w:val="both"/>
        <w:rPr>
          <w:rFonts w:asciiTheme="minorHAnsi" w:hAnsiTheme="minorHAnsi"/>
          <w:b/>
          <w:bCs/>
          <w:u w:val="single"/>
        </w:rPr>
      </w:pPr>
      <w:r w:rsidRPr="00DE3501">
        <w:rPr>
          <w:rFonts w:asciiTheme="minorHAnsi" w:hAnsiTheme="minorHAnsi"/>
          <w:b/>
          <w:bCs/>
          <w:u w:val="single"/>
        </w:rPr>
        <w:t>Απάντηση</w:t>
      </w:r>
    </w:p>
    <w:p w:rsidR="00300A4C" w:rsidRPr="00DE3501" w:rsidRDefault="00300A4C" w:rsidP="00C1141C">
      <w:pPr>
        <w:pStyle w:val="a1"/>
        <w:contextualSpacing w:val="0"/>
        <w:jc w:val="both"/>
        <w:rPr>
          <w:rFonts w:asciiTheme="minorHAnsi" w:hAnsiTheme="minorHAnsi"/>
          <w:lang w:eastAsia="en-US"/>
        </w:rPr>
      </w:pPr>
      <w:r w:rsidRPr="00DE3501">
        <w:rPr>
          <w:rFonts w:asciiTheme="minorHAnsi" w:hAnsiTheme="minorHAnsi"/>
          <w:lang w:eastAsia="en-US"/>
        </w:rPr>
        <w:t xml:space="preserve">Εφόσον πρόκειται για υφιστάμενο επισκέψιμο οινοποιείο, θα πρέπει να υπάρχει το ειδικό «Σήμα Επισκέψιμου Οινοποιείου» σε ισχύ, σύμφωνα με τα οριζόμενα στο κριτήριο </w:t>
      </w:r>
      <w:proofErr w:type="spellStart"/>
      <w:r w:rsidRPr="00DE3501">
        <w:rPr>
          <w:rFonts w:asciiTheme="minorHAnsi" w:hAnsiTheme="minorHAnsi"/>
          <w:lang w:eastAsia="en-US"/>
        </w:rPr>
        <w:t>επιλεξιμότητας</w:t>
      </w:r>
      <w:proofErr w:type="spellEnd"/>
      <w:r w:rsidRPr="00DE3501">
        <w:rPr>
          <w:rFonts w:asciiTheme="minorHAnsi" w:hAnsiTheme="minorHAnsi"/>
          <w:lang w:eastAsia="en-US"/>
        </w:rPr>
        <w:t xml:space="preserve"> 11 του ενημερωτικού οδηγού της πρόσκλησης (σελ. 48).</w:t>
      </w:r>
    </w:p>
    <w:p w:rsidR="00C1141C" w:rsidRPr="00DE3501" w:rsidRDefault="00C1141C" w:rsidP="00C1141C">
      <w:pPr>
        <w:pStyle w:val="a1"/>
        <w:contextualSpacing w:val="0"/>
        <w:jc w:val="both"/>
        <w:rPr>
          <w:rFonts w:asciiTheme="minorHAnsi" w:hAnsiTheme="minorHAnsi"/>
          <w:lang w:eastAsia="en-US"/>
        </w:rPr>
      </w:pPr>
    </w:p>
    <w:p w:rsidR="00C1141C" w:rsidRPr="00DE3501" w:rsidRDefault="00C1141C" w:rsidP="00C1141C">
      <w:pPr>
        <w:pStyle w:val="a1"/>
        <w:numPr>
          <w:ilvl w:val="0"/>
          <w:numId w:val="5"/>
        </w:numPr>
        <w:jc w:val="both"/>
        <w:rPr>
          <w:rFonts w:asciiTheme="minorHAnsi" w:hAnsiTheme="minorHAnsi"/>
          <w:b/>
        </w:rPr>
      </w:pPr>
      <w:r w:rsidRPr="00DE3501">
        <w:rPr>
          <w:rFonts w:asciiTheme="minorHAnsi" w:hAnsiTheme="minorHAnsi"/>
          <w:b/>
        </w:rPr>
        <w:t>Αγρότισσα που ασχολείται με το μέλι θέλει να αξιοποιήσει το υφιστάμενο υπόγειο</w:t>
      </w:r>
      <w:r w:rsidRPr="00DE3501">
        <w:rPr>
          <w:rFonts w:asciiTheme="minorHAnsi" w:hAnsiTheme="minorHAnsi"/>
        </w:rPr>
        <w:t xml:space="preserve"> </w:t>
      </w:r>
      <w:r w:rsidRPr="00DE3501">
        <w:rPr>
          <w:rFonts w:asciiTheme="minorHAnsi" w:hAnsiTheme="minorHAnsi"/>
          <w:b/>
        </w:rPr>
        <w:t>ιδιόκτητης οικοδομής που έχει κατασκευαστεί από το 2001, μετατρέποντας το σε εργαστήριο τυποποίησης μελιού (</w:t>
      </w:r>
      <w:proofErr w:type="spellStart"/>
      <w:r w:rsidRPr="00DE3501">
        <w:rPr>
          <w:rFonts w:asciiTheme="minorHAnsi" w:hAnsiTheme="minorHAnsi"/>
          <w:b/>
        </w:rPr>
        <w:t>υποδράση</w:t>
      </w:r>
      <w:proofErr w:type="spellEnd"/>
      <w:r w:rsidRPr="00DE3501">
        <w:rPr>
          <w:rFonts w:asciiTheme="minorHAnsi" w:hAnsiTheme="minorHAnsi"/>
          <w:b/>
        </w:rPr>
        <w:t xml:space="preserve"> 19.2.3.1). Η υποψήφια έχει ξεκινήσει τις διαδικασίες για αλλαγή χρήσης από το μηχανικό για τον υπόγειο χώρο. Η παραπάνω μπορεί να υποβάλλει πρόταση στο πρόγραμμα </w:t>
      </w:r>
      <w:r w:rsidRPr="00DE3501">
        <w:rPr>
          <w:rFonts w:asciiTheme="minorHAnsi" w:hAnsiTheme="minorHAnsi"/>
          <w:b/>
          <w:lang w:val="en-US"/>
        </w:rPr>
        <w:t>Leader</w:t>
      </w:r>
      <w:r w:rsidRPr="00DE3501">
        <w:rPr>
          <w:rFonts w:asciiTheme="minorHAnsi" w:hAnsiTheme="minorHAnsi"/>
          <w:b/>
        </w:rPr>
        <w:t xml:space="preserve"> (</w:t>
      </w:r>
      <w:proofErr w:type="spellStart"/>
      <w:r w:rsidRPr="00DE3501">
        <w:rPr>
          <w:rFonts w:asciiTheme="minorHAnsi" w:hAnsiTheme="minorHAnsi"/>
          <w:b/>
        </w:rPr>
        <w:t>υποδράση</w:t>
      </w:r>
      <w:proofErr w:type="spellEnd"/>
      <w:r w:rsidRPr="00DE3501">
        <w:rPr>
          <w:rFonts w:asciiTheme="minorHAnsi" w:hAnsiTheme="minorHAnsi"/>
          <w:b/>
        </w:rPr>
        <w:t xml:space="preserve"> 19.2.3.1) για ίδρυση </w:t>
      </w:r>
      <w:proofErr w:type="spellStart"/>
      <w:r w:rsidRPr="00DE3501">
        <w:rPr>
          <w:rFonts w:asciiTheme="minorHAnsi" w:hAnsiTheme="minorHAnsi"/>
          <w:b/>
        </w:rPr>
        <w:t>τυποποιητηρίου</w:t>
      </w:r>
      <w:proofErr w:type="spellEnd"/>
      <w:r w:rsidRPr="00DE3501">
        <w:rPr>
          <w:rFonts w:asciiTheme="minorHAnsi" w:hAnsiTheme="minorHAnsi"/>
          <w:b/>
        </w:rPr>
        <w:t xml:space="preserve"> μελιού?</w:t>
      </w:r>
      <w:r w:rsidR="006E7F5A">
        <w:rPr>
          <w:rFonts w:asciiTheme="minorHAnsi" w:hAnsiTheme="minorHAnsi"/>
          <w:b/>
        </w:rPr>
        <w:t xml:space="preserve"> (22-4-2019)</w:t>
      </w:r>
    </w:p>
    <w:p w:rsidR="00C72CA8" w:rsidRPr="00DE3501" w:rsidRDefault="00C72CA8" w:rsidP="00C1141C">
      <w:pPr>
        <w:pStyle w:val="a1"/>
        <w:jc w:val="both"/>
        <w:rPr>
          <w:rFonts w:asciiTheme="minorHAnsi" w:hAnsiTheme="minorHAnsi"/>
          <w:b/>
          <w:bCs/>
          <w:u w:val="single"/>
        </w:rPr>
      </w:pPr>
    </w:p>
    <w:p w:rsidR="00C1141C" w:rsidRPr="00DE3501" w:rsidRDefault="00C1141C" w:rsidP="00C1141C">
      <w:pPr>
        <w:pStyle w:val="a1"/>
        <w:jc w:val="both"/>
        <w:rPr>
          <w:rFonts w:asciiTheme="minorHAnsi" w:hAnsiTheme="minorHAnsi"/>
          <w:b/>
          <w:bCs/>
          <w:u w:val="single"/>
        </w:rPr>
      </w:pPr>
      <w:r w:rsidRPr="00DE3501">
        <w:rPr>
          <w:rFonts w:asciiTheme="minorHAnsi" w:hAnsiTheme="minorHAnsi"/>
          <w:b/>
          <w:bCs/>
          <w:u w:val="single"/>
        </w:rPr>
        <w:t>Απάντηση</w:t>
      </w:r>
    </w:p>
    <w:p w:rsidR="00300A4C" w:rsidRPr="00DE3501" w:rsidRDefault="00300A4C" w:rsidP="00C1141C">
      <w:pPr>
        <w:pStyle w:val="a1"/>
        <w:contextualSpacing w:val="0"/>
        <w:jc w:val="both"/>
        <w:rPr>
          <w:rFonts w:asciiTheme="minorHAnsi" w:hAnsiTheme="minorHAnsi"/>
          <w:lang w:eastAsia="en-US"/>
        </w:rPr>
      </w:pPr>
      <w:r w:rsidRPr="00DE3501">
        <w:rPr>
          <w:rFonts w:asciiTheme="minorHAnsi" w:hAnsiTheme="minorHAnsi"/>
          <w:lang w:eastAsia="en-US"/>
        </w:rPr>
        <w:t xml:space="preserve">Η </w:t>
      </w:r>
      <w:proofErr w:type="spellStart"/>
      <w:r w:rsidRPr="00DE3501">
        <w:rPr>
          <w:rFonts w:asciiTheme="minorHAnsi" w:hAnsiTheme="minorHAnsi"/>
          <w:lang w:eastAsia="en-US"/>
        </w:rPr>
        <w:t>υποδράση</w:t>
      </w:r>
      <w:proofErr w:type="spellEnd"/>
      <w:r w:rsidRPr="00DE3501">
        <w:rPr>
          <w:rFonts w:asciiTheme="minorHAnsi" w:hAnsiTheme="minorHAnsi"/>
          <w:lang w:eastAsia="en-US"/>
        </w:rPr>
        <w:t xml:space="preserve"> 19.2.3.1 χρηματοδοτείται βάσει του ΚΑΝ 1305/2013, επομένως δεν εξετάζεται ο χαρακτήρας κινήτρου και άρα μπορεί να υποβάλλει αίτηση στήριξης. </w:t>
      </w:r>
    </w:p>
    <w:p w:rsidR="00A52BFC" w:rsidRPr="00DE3501" w:rsidRDefault="00A52BFC" w:rsidP="00A52BFC">
      <w:pPr>
        <w:rPr>
          <w:rFonts w:asciiTheme="minorHAnsi" w:hAnsiTheme="minorHAnsi"/>
        </w:rPr>
      </w:pPr>
    </w:p>
    <w:p w:rsidR="00A52BFC" w:rsidRPr="00DE3501" w:rsidRDefault="00A52BFC" w:rsidP="00A52BFC">
      <w:pPr>
        <w:pStyle w:val="a1"/>
        <w:numPr>
          <w:ilvl w:val="0"/>
          <w:numId w:val="5"/>
        </w:numPr>
        <w:jc w:val="both"/>
        <w:rPr>
          <w:rFonts w:asciiTheme="minorHAnsi" w:hAnsiTheme="minorHAnsi"/>
          <w:b/>
        </w:rPr>
      </w:pPr>
      <w:r w:rsidRPr="00DE3501">
        <w:rPr>
          <w:rFonts w:asciiTheme="minorHAnsi" w:hAnsiTheme="minorHAnsi"/>
          <w:b/>
        </w:rPr>
        <w:t xml:space="preserve">Τι γίνεται σε περίπτωση που κατά την υποβολή μιας πρότασης από μία εταιρεία (ΙΚΕ) υποβληθούν τραπεζικές βεβαιώσεις των εταίρων ή της εταιρείας που αποδεικνύουν την ίδια συμμετοχή αλλά στη συνέχεια η εταιρεία δεν προχωρήσει σε αύξηση κεφαλαίου? </w:t>
      </w:r>
      <w:r w:rsidR="006E7F5A">
        <w:rPr>
          <w:rFonts w:asciiTheme="minorHAnsi" w:hAnsiTheme="minorHAnsi"/>
          <w:b/>
        </w:rPr>
        <w:t>(23-4-2019)</w:t>
      </w:r>
    </w:p>
    <w:p w:rsidR="00C72CA8" w:rsidRPr="00DE3501" w:rsidRDefault="00C72CA8" w:rsidP="00636204">
      <w:pPr>
        <w:pStyle w:val="a1"/>
        <w:jc w:val="both"/>
        <w:rPr>
          <w:rFonts w:asciiTheme="minorHAnsi" w:hAnsiTheme="minorHAnsi"/>
          <w:b/>
          <w:bCs/>
          <w:u w:val="single"/>
        </w:rPr>
      </w:pPr>
    </w:p>
    <w:p w:rsidR="00636204" w:rsidRPr="00DE3501" w:rsidRDefault="00636204" w:rsidP="00636204">
      <w:pPr>
        <w:pStyle w:val="a1"/>
        <w:jc w:val="both"/>
        <w:rPr>
          <w:rFonts w:asciiTheme="minorHAnsi" w:hAnsiTheme="minorHAnsi"/>
          <w:b/>
          <w:bCs/>
          <w:u w:val="single"/>
        </w:rPr>
      </w:pPr>
      <w:r w:rsidRPr="00DE3501">
        <w:rPr>
          <w:rFonts w:asciiTheme="minorHAnsi" w:hAnsiTheme="minorHAnsi"/>
          <w:b/>
          <w:bCs/>
          <w:u w:val="single"/>
        </w:rPr>
        <w:t>Απάντηση</w:t>
      </w:r>
    </w:p>
    <w:p w:rsidR="00556ABA" w:rsidRPr="00DE3501" w:rsidRDefault="00556ABA" w:rsidP="00556ABA">
      <w:pPr>
        <w:ind w:left="709"/>
        <w:jc w:val="both"/>
        <w:rPr>
          <w:rFonts w:asciiTheme="minorHAnsi" w:hAnsiTheme="minorHAnsi"/>
          <w:lang w:eastAsia="en-US"/>
        </w:rPr>
      </w:pPr>
      <w:r w:rsidRPr="00DE3501">
        <w:rPr>
          <w:rFonts w:asciiTheme="minorHAnsi" w:hAnsiTheme="minorHAnsi"/>
          <w:lang w:eastAsia="en-US"/>
        </w:rPr>
        <w:t xml:space="preserve">Σύμφωνα με το άρθρο 1.3.2 της πρόσκλησης, «οι ίδιοι πόροι που δηλώνονται θα πρέπει να αποδεικνύονται σε τραπεζικούς λογαριασμούς ή σε τίτλους στο όνομα του δικαιούχου, πριν την υπογραφή της σύμβασης μεταξύ του δικαιούχου και της ΟΤΔ». Η συνεισφορά των εταίρων της ΙΚΕ θα πρέπει να αποδεικνύεται με την αύξηση του κεφαλαίου. Επομένως, σε περίπτωση που οι ίδιοι πόροι δεν αποδεικνύονται πριν την υπογραφή της σύμβασης, η σύμβαση δεν θα υπογραφεί και το έργο </w:t>
      </w:r>
      <w:proofErr w:type="spellStart"/>
      <w:r w:rsidRPr="00DE3501">
        <w:rPr>
          <w:rFonts w:asciiTheme="minorHAnsi" w:hAnsiTheme="minorHAnsi"/>
          <w:lang w:eastAsia="en-US"/>
        </w:rPr>
        <w:t>απεντάσσεται</w:t>
      </w:r>
      <w:proofErr w:type="spellEnd"/>
      <w:r w:rsidRPr="00DE3501">
        <w:rPr>
          <w:rFonts w:asciiTheme="minorHAnsi" w:hAnsiTheme="minorHAnsi"/>
          <w:lang w:eastAsia="en-US"/>
        </w:rPr>
        <w:t xml:space="preserve">. </w:t>
      </w:r>
    </w:p>
    <w:p w:rsidR="00C72CA8" w:rsidRPr="00DE3501" w:rsidRDefault="00C72CA8" w:rsidP="00C72CA8">
      <w:pPr>
        <w:rPr>
          <w:rFonts w:asciiTheme="minorHAnsi" w:hAnsiTheme="minorHAnsi"/>
        </w:rPr>
      </w:pPr>
    </w:p>
    <w:p w:rsidR="00C72CA8" w:rsidRPr="00DE3501" w:rsidRDefault="00C72CA8" w:rsidP="00C72CA8">
      <w:pPr>
        <w:pStyle w:val="a1"/>
        <w:numPr>
          <w:ilvl w:val="0"/>
          <w:numId w:val="5"/>
        </w:numPr>
        <w:jc w:val="both"/>
        <w:rPr>
          <w:rFonts w:asciiTheme="minorHAnsi" w:hAnsiTheme="minorHAnsi"/>
          <w:b/>
        </w:rPr>
      </w:pPr>
      <w:r w:rsidRPr="00DE3501">
        <w:rPr>
          <w:rFonts w:asciiTheme="minorHAnsi" w:hAnsiTheme="minorHAnsi"/>
          <w:b/>
        </w:rPr>
        <w:t xml:space="preserve">Υφιστάμενη ατομική επιχείρηση τουριστικών καταλυμάτων διαθέτει 1 τουριστική επιπλωμένη κατοικία με 9 κλίνες και σήμα ΕΟΤ. Η παραπάνω επιχείρηση μπορεί να  υποβάλλει στην </w:t>
      </w:r>
      <w:proofErr w:type="spellStart"/>
      <w:r w:rsidRPr="00DE3501">
        <w:rPr>
          <w:rFonts w:asciiTheme="minorHAnsi" w:hAnsiTheme="minorHAnsi"/>
          <w:b/>
        </w:rPr>
        <w:t>υποδράση</w:t>
      </w:r>
      <w:proofErr w:type="spellEnd"/>
      <w:r w:rsidRPr="00DE3501">
        <w:rPr>
          <w:rFonts w:asciiTheme="minorHAnsi" w:hAnsiTheme="minorHAnsi"/>
          <w:b/>
        </w:rPr>
        <w:t xml:space="preserve"> 19.2.3.3, με σκοπό την επέκταση της με τη δημιουργία μιας ακόμα κατοικίας, που θα πληροί τις προϋποθέσεις της σχετικής ΚΥΑ ή πρέπει οι σχετικές προϋποθέσεις να τηρούνται κατά την υποβολή?</w:t>
      </w:r>
      <w:r w:rsidR="006E7F5A">
        <w:rPr>
          <w:rFonts w:asciiTheme="minorHAnsi" w:hAnsiTheme="minorHAnsi"/>
          <w:b/>
        </w:rPr>
        <w:t xml:space="preserve"> (24-4-2019)</w:t>
      </w:r>
    </w:p>
    <w:p w:rsidR="00C72CA8" w:rsidRPr="00DE3501" w:rsidRDefault="00C72CA8" w:rsidP="00C72CA8">
      <w:pPr>
        <w:pStyle w:val="a1"/>
        <w:jc w:val="both"/>
        <w:rPr>
          <w:rFonts w:asciiTheme="minorHAnsi" w:hAnsiTheme="minorHAnsi"/>
          <w:b/>
          <w:bCs/>
          <w:u w:val="single"/>
        </w:rPr>
      </w:pPr>
    </w:p>
    <w:p w:rsidR="00C72CA8" w:rsidRPr="00DE3501" w:rsidRDefault="00C72CA8" w:rsidP="00C72CA8">
      <w:pPr>
        <w:pStyle w:val="a1"/>
        <w:jc w:val="both"/>
        <w:rPr>
          <w:rFonts w:asciiTheme="minorHAnsi" w:hAnsiTheme="minorHAnsi"/>
          <w:b/>
          <w:bCs/>
          <w:u w:val="single"/>
        </w:rPr>
      </w:pPr>
      <w:r w:rsidRPr="00DE3501">
        <w:rPr>
          <w:rFonts w:asciiTheme="minorHAnsi" w:hAnsiTheme="minorHAnsi"/>
          <w:b/>
          <w:bCs/>
          <w:u w:val="single"/>
        </w:rPr>
        <w:t>Απάντηση</w:t>
      </w:r>
    </w:p>
    <w:p w:rsidR="00C72CA8" w:rsidRPr="00DE3501" w:rsidRDefault="00C72CA8" w:rsidP="00C72CA8">
      <w:pPr>
        <w:pStyle w:val="a1"/>
        <w:contextualSpacing w:val="0"/>
        <w:jc w:val="both"/>
        <w:rPr>
          <w:rFonts w:asciiTheme="minorHAnsi" w:hAnsiTheme="minorHAnsi"/>
          <w:i/>
          <w:iCs/>
          <w:lang w:eastAsia="en-US"/>
        </w:rPr>
      </w:pPr>
      <w:r w:rsidRPr="00DE3501">
        <w:rPr>
          <w:rFonts w:asciiTheme="minorHAnsi" w:hAnsiTheme="minorHAnsi"/>
          <w:lang w:eastAsia="en-US"/>
        </w:rPr>
        <w:lastRenderedPageBreak/>
        <w:t xml:space="preserve">Σύμφωνα με την ΚΥΑ 2986/25-11-2016 (ΦΕΚ 3885/Β/2-12-2016) άρθρο 3, </w:t>
      </w:r>
      <w:r w:rsidRPr="00DE3501">
        <w:rPr>
          <w:rFonts w:asciiTheme="minorHAnsi" w:hAnsiTheme="minorHAnsi"/>
          <w:i/>
          <w:iCs/>
          <w:lang w:eastAsia="en-US"/>
        </w:rPr>
        <w:t xml:space="preserve">«Ενισχύεται η επέκταση κύριων και μη κύριων ξενοδοχειακών καταλυμάτων που λειτουργούν με ειδικό σήμα λειτουργίας, </w:t>
      </w:r>
      <w:r w:rsidRPr="00DE3501">
        <w:rPr>
          <w:rFonts w:asciiTheme="minorHAnsi" w:hAnsiTheme="minorHAnsi"/>
          <w:b/>
          <w:bCs/>
          <w:i/>
          <w:iCs/>
          <w:lang w:eastAsia="en-US"/>
        </w:rPr>
        <w:t>εφόσον μετά την ολοκλήρωση της επένδυσης</w:t>
      </w:r>
      <w:r w:rsidRPr="00DE3501">
        <w:rPr>
          <w:rFonts w:asciiTheme="minorHAnsi" w:hAnsiTheme="minorHAnsi"/>
          <w:i/>
          <w:iCs/>
          <w:lang w:eastAsia="en-US"/>
        </w:rPr>
        <w:t xml:space="preserve"> στο σύνολο του τουριστικού καταλύματος (αρχικό κατάλυμα συν επέκταση) ανήκει στις λειτουργικές μορφές και κατηγορίες του άρθρου 2 της παρούσας κοινής υπουργικής απόφασης και μόνον υπό τους όρους και περιορισμούς του άρθρου 4 αυτής». </w:t>
      </w:r>
    </w:p>
    <w:p w:rsidR="00B05869" w:rsidRDefault="00B05869" w:rsidP="00C72CA8">
      <w:pPr>
        <w:pStyle w:val="a1"/>
        <w:tabs>
          <w:tab w:val="num" w:pos="0"/>
          <w:tab w:val="left" w:pos="6833"/>
        </w:tabs>
        <w:jc w:val="both"/>
        <w:rPr>
          <w:rFonts w:asciiTheme="minorHAnsi" w:hAnsiTheme="minorHAnsi"/>
        </w:rPr>
      </w:pPr>
    </w:p>
    <w:p w:rsidR="001915A5" w:rsidRPr="001915A5" w:rsidRDefault="001915A5" w:rsidP="001915A5">
      <w:pPr>
        <w:pStyle w:val="a1"/>
        <w:numPr>
          <w:ilvl w:val="0"/>
          <w:numId w:val="5"/>
        </w:numPr>
        <w:spacing w:before="120" w:after="120"/>
        <w:jc w:val="both"/>
        <w:rPr>
          <w:rFonts w:asciiTheme="minorHAnsi" w:hAnsiTheme="minorHAnsi"/>
          <w:b/>
          <w:sz w:val="22"/>
          <w:szCs w:val="22"/>
        </w:rPr>
      </w:pPr>
      <w:r w:rsidRPr="001915A5">
        <w:rPr>
          <w:rFonts w:asciiTheme="minorHAnsi" w:hAnsiTheme="minorHAnsi"/>
          <w:b/>
        </w:rPr>
        <w:t>Η ποσότητα της μεταποιήσιμης πρώτης ύλης ως μακροχρόνια υποχρέωση για τις πράξεις που αφορούν μεταποίηση, ελέγχεται και στην περίπτωση των επαγγελματικών εργαστηρίων ή μόνο στην περίπτωση βιοτεχνιών/βιομηχανιών;</w:t>
      </w:r>
    </w:p>
    <w:p w:rsidR="001915A5" w:rsidRPr="001915A5" w:rsidRDefault="001915A5" w:rsidP="001915A5">
      <w:pPr>
        <w:pStyle w:val="a1"/>
        <w:tabs>
          <w:tab w:val="left" w:pos="6833"/>
        </w:tabs>
        <w:jc w:val="both"/>
        <w:rPr>
          <w:rFonts w:asciiTheme="minorHAnsi" w:hAnsiTheme="minorHAnsi"/>
        </w:rPr>
      </w:pPr>
    </w:p>
    <w:p w:rsidR="001915A5" w:rsidRPr="001915A5" w:rsidRDefault="001915A5" w:rsidP="001915A5">
      <w:pPr>
        <w:pStyle w:val="a1"/>
        <w:jc w:val="both"/>
        <w:rPr>
          <w:rFonts w:asciiTheme="minorHAnsi" w:hAnsiTheme="minorHAnsi"/>
          <w:b/>
          <w:bCs/>
          <w:u w:val="single"/>
        </w:rPr>
      </w:pPr>
      <w:r w:rsidRPr="001915A5">
        <w:rPr>
          <w:rFonts w:asciiTheme="minorHAnsi" w:hAnsiTheme="minorHAnsi"/>
          <w:b/>
          <w:bCs/>
          <w:u w:val="single"/>
        </w:rPr>
        <w:t>Απάντηση</w:t>
      </w:r>
    </w:p>
    <w:p w:rsidR="001915A5" w:rsidRPr="001915A5" w:rsidRDefault="001915A5" w:rsidP="001915A5">
      <w:pPr>
        <w:ind w:left="709"/>
        <w:jc w:val="both"/>
        <w:rPr>
          <w:rFonts w:asciiTheme="minorHAnsi" w:hAnsiTheme="minorHAnsi"/>
          <w:lang w:eastAsia="en-US"/>
        </w:rPr>
      </w:pPr>
      <w:r w:rsidRPr="001915A5">
        <w:rPr>
          <w:rFonts w:asciiTheme="minorHAnsi" w:hAnsiTheme="minorHAnsi"/>
          <w:lang w:eastAsia="en-US"/>
        </w:rPr>
        <w:t>Σύμφωνα με το άρθρο 21 της πρόσκλησης (σελ. 45) οι μακροχρόνιες υποχρεώσεις για τη μεταποιήσιμη πρώτη ύλη αφορά μόνο στις πράξεις της μεταποίησης (γεωργικό και μη γεωργικό προϊόν).</w:t>
      </w:r>
      <w:bookmarkStart w:id="0" w:name="_GoBack"/>
      <w:bookmarkEnd w:id="0"/>
      <w:r w:rsidRPr="001915A5">
        <w:rPr>
          <w:rFonts w:asciiTheme="minorHAnsi" w:hAnsiTheme="minorHAnsi"/>
          <w:lang w:eastAsia="en-US"/>
        </w:rPr>
        <w:t xml:space="preserve"> </w:t>
      </w:r>
    </w:p>
    <w:p w:rsidR="001915A5" w:rsidRPr="001915A5" w:rsidRDefault="001915A5" w:rsidP="001915A5">
      <w:pPr>
        <w:pStyle w:val="a1"/>
        <w:tabs>
          <w:tab w:val="left" w:pos="6833"/>
        </w:tabs>
        <w:jc w:val="both"/>
        <w:rPr>
          <w:rFonts w:asciiTheme="minorHAnsi" w:hAnsiTheme="minorHAnsi"/>
          <w:lang w:eastAsia="en-US"/>
        </w:rPr>
      </w:pPr>
    </w:p>
    <w:sectPr w:rsidR="001915A5" w:rsidRPr="001915A5" w:rsidSect="00C72CA8">
      <w:headerReference w:type="default" r:id="rId7"/>
      <w:footerReference w:type="default" r:id="rId8"/>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87" w:rsidRDefault="00D52787" w:rsidP="00D52787">
      <w:r>
        <w:separator/>
      </w:r>
    </w:p>
  </w:endnote>
  <w:endnote w:type="continuationSeparator" w:id="0">
    <w:p w:rsidR="00D52787" w:rsidRDefault="00D52787" w:rsidP="00D5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CB" w:rsidRDefault="00AD1FCB">
    <w:pPr>
      <w:pStyle w:val="a9"/>
      <w:jc w:val="right"/>
    </w:pPr>
  </w:p>
  <w:sdt>
    <w:sdtPr>
      <w:rPr>
        <w:rFonts w:ascii="Tahoma" w:hAnsi="Tahoma" w:cs="Tahoma"/>
        <w:b/>
        <w:color w:val="0070C0"/>
        <w:sz w:val="18"/>
        <w:szCs w:val="18"/>
      </w:rPr>
      <w:id w:val="1035701310"/>
      <w:docPartObj>
        <w:docPartGallery w:val="Page Numbers (Bottom of Page)"/>
        <w:docPartUnique/>
      </w:docPartObj>
    </w:sdtPr>
    <w:sdtEndPr/>
    <w:sdtContent>
      <w:p w:rsidR="0099428D" w:rsidRPr="00C45C88" w:rsidRDefault="0099428D" w:rsidP="0099428D">
        <w:pPr>
          <w:pStyle w:val="a9"/>
          <w:pBdr>
            <w:top w:val="single" w:sz="12" w:space="1" w:color="44546A" w:themeColor="text2"/>
          </w:pBdr>
          <w:tabs>
            <w:tab w:val="clear" w:pos="4153"/>
          </w:tabs>
          <w:jc w:val="right"/>
          <w:rPr>
            <w:rFonts w:ascii="Tahoma" w:hAnsi="Tahoma" w:cs="Tahoma"/>
            <w:b/>
            <w:color w:val="0070C0"/>
            <w:sz w:val="18"/>
            <w:szCs w:val="18"/>
          </w:rPr>
        </w:pPr>
        <w:r w:rsidRPr="00C45C88">
          <w:rPr>
            <w:rFonts w:ascii="Tahoma" w:hAnsi="Tahoma" w:cs="Tahoma"/>
            <w:b/>
            <w:color w:val="0070C0"/>
            <w:sz w:val="18"/>
            <w:szCs w:val="18"/>
          </w:rPr>
          <w:t xml:space="preserve">         </w:t>
        </w:r>
        <w:r>
          <w:rPr>
            <w:rFonts w:ascii="Tahoma" w:hAnsi="Tahoma" w:cs="Tahoma"/>
            <w:b/>
            <w:color w:val="0070C0"/>
            <w:sz w:val="18"/>
            <w:szCs w:val="18"/>
          </w:rPr>
          <w:t xml:space="preserve">                                    </w:t>
        </w:r>
        <w:r w:rsidRPr="00C45C88">
          <w:rPr>
            <w:rFonts w:ascii="Tahoma" w:hAnsi="Tahoma" w:cs="Tahoma"/>
            <w:b/>
            <w:color w:val="0070C0"/>
            <w:sz w:val="18"/>
            <w:szCs w:val="18"/>
          </w:rPr>
          <w:t xml:space="preserve"> </w:t>
        </w:r>
        <w:r w:rsidRPr="00C45C88">
          <w:rPr>
            <w:rFonts w:ascii="Tahoma" w:hAnsi="Tahoma" w:cs="Tahoma"/>
            <w:b/>
            <w:color w:val="0070C0"/>
            <w:sz w:val="18"/>
            <w:szCs w:val="18"/>
          </w:rPr>
          <w:fldChar w:fldCharType="begin"/>
        </w:r>
        <w:r w:rsidRPr="00C45C88">
          <w:rPr>
            <w:rFonts w:ascii="Tahoma" w:hAnsi="Tahoma" w:cs="Tahoma"/>
            <w:b/>
            <w:color w:val="0070C0"/>
            <w:sz w:val="18"/>
            <w:szCs w:val="18"/>
          </w:rPr>
          <w:instrText>PAGE   \* MERGEFORMAT</w:instrText>
        </w:r>
        <w:r w:rsidRPr="00C45C88">
          <w:rPr>
            <w:rFonts w:ascii="Tahoma" w:hAnsi="Tahoma" w:cs="Tahoma"/>
            <w:b/>
            <w:color w:val="0070C0"/>
            <w:sz w:val="18"/>
            <w:szCs w:val="18"/>
          </w:rPr>
          <w:fldChar w:fldCharType="separate"/>
        </w:r>
        <w:r w:rsidR="001915A5">
          <w:rPr>
            <w:rFonts w:ascii="Tahoma" w:hAnsi="Tahoma" w:cs="Tahoma"/>
            <w:b/>
            <w:noProof/>
            <w:color w:val="0070C0"/>
            <w:sz w:val="18"/>
            <w:szCs w:val="18"/>
          </w:rPr>
          <w:t>4</w:t>
        </w:r>
        <w:r w:rsidRPr="00C45C88">
          <w:rPr>
            <w:rFonts w:ascii="Tahoma" w:hAnsi="Tahoma" w:cs="Tahoma"/>
            <w:b/>
            <w:noProof/>
            <w:color w:val="0070C0"/>
            <w:sz w:val="18"/>
            <w:szCs w:val="18"/>
          </w:rPr>
          <w:fldChar w:fldCharType="end"/>
        </w:r>
      </w:p>
    </w:sdtContent>
  </w:sdt>
  <w:p w:rsidR="0099428D" w:rsidRPr="007C3386" w:rsidRDefault="0099428D" w:rsidP="0099428D">
    <w:pPr>
      <w:pStyle w:val="a9"/>
      <w:pBdr>
        <w:top w:val="single" w:sz="12" w:space="1" w:color="44546A" w:themeColor="text2"/>
      </w:pBdr>
      <w:tabs>
        <w:tab w:val="clear" w:pos="4153"/>
      </w:tabs>
      <w:rPr>
        <w:rFonts w:ascii="Tahoma" w:hAnsi="Tahoma" w:cs="Tahoma"/>
        <w:sz w:val="16"/>
        <w:szCs w:val="16"/>
      </w:rPr>
    </w:pPr>
    <w:r w:rsidRPr="001A3700">
      <w:rPr>
        <w:rFonts w:ascii="Tahoma" w:hAnsi="Tahoma" w:cs="Tahoma"/>
        <w:b/>
        <w:color w:val="0070C0"/>
        <w:sz w:val="18"/>
        <w:szCs w:val="18"/>
      </w:rPr>
      <w:t xml:space="preserve">      </w:t>
    </w:r>
    <w:r>
      <w:rPr>
        <w:rFonts w:ascii="Tahoma" w:hAnsi="Tahoma" w:cs="Tahoma"/>
        <w:b/>
        <w:noProof/>
      </w:rPr>
      <w:drawing>
        <wp:inline distT="0" distB="0" distL="0" distR="0" wp14:anchorId="7A1B96E6" wp14:editId="0F78F8AF">
          <wp:extent cx="949265" cy="459219"/>
          <wp:effectExtent l="0" t="0" r="381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60" cy="472278"/>
                  </a:xfrm>
                  <a:prstGeom prst="rect">
                    <a:avLst/>
                  </a:prstGeom>
                  <a:noFill/>
                </pic:spPr>
              </pic:pic>
            </a:graphicData>
          </a:graphic>
        </wp:inline>
      </w:drawing>
    </w:r>
    <w:r>
      <w:rPr>
        <w:rFonts w:ascii="Tahoma" w:hAnsi="Tahoma" w:cs="Tahoma"/>
        <w:b/>
        <w:color w:val="0070C0"/>
        <w:sz w:val="18"/>
        <w:szCs w:val="18"/>
      </w:rPr>
      <w:t xml:space="preserve">                                          </w:t>
    </w:r>
    <w:r>
      <w:rPr>
        <w:rFonts w:ascii="Tahoma" w:hAnsi="Tahoma" w:cs="Tahoma"/>
        <w:b/>
        <w:noProof/>
      </w:rPr>
      <w:drawing>
        <wp:inline distT="0" distB="0" distL="0" distR="0" wp14:anchorId="2EE90042" wp14:editId="3BBB9DAC">
          <wp:extent cx="526277" cy="532847"/>
          <wp:effectExtent l="0" t="0" r="7620" b="635"/>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887" cy="537515"/>
                  </a:xfrm>
                  <a:prstGeom prst="rect">
                    <a:avLst/>
                  </a:prstGeom>
                  <a:noFill/>
                </pic:spPr>
              </pic:pic>
            </a:graphicData>
          </a:graphic>
        </wp:inline>
      </w:drawing>
    </w:r>
    <w:r>
      <w:rPr>
        <w:rFonts w:ascii="Tahoma" w:hAnsi="Tahoma" w:cs="Tahoma"/>
        <w:b/>
        <w:color w:val="0070C0"/>
        <w:sz w:val="18"/>
        <w:szCs w:val="18"/>
      </w:rPr>
      <w:t xml:space="preserve">                                                  </w:t>
    </w:r>
    <w:r>
      <w:rPr>
        <w:rFonts w:ascii="Tahoma" w:hAnsi="Tahoma" w:cs="Tahoma"/>
        <w:b/>
        <w:noProof/>
      </w:rPr>
      <w:drawing>
        <wp:inline distT="0" distB="0" distL="0" distR="0" wp14:anchorId="279CA415" wp14:editId="3F4F6FE1">
          <wp:extent cx="648417" cy="505366"/>
          <wp:effectExtent l="0" t="0" r="0" b="952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099" cy="51135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87" w:rsidRDefault="00D52787" w:rsidP="00D52787">
      <w:r>
        <w:separator/>
      </w:r>
    </w:p>
  </w:footnote>
  <w:footnote w:type="continuationSeparator" w:id="0">
    <w:p w:rsidR="00D52787" w:rsidRDefault="00D52787" w:rsidP="00D5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2" w:rsidRDefault="00E81552" w:rsidP="00E81552">
    <w:pPr>
      <w:pStyle w:val="a5"/>
      <w:tabs>
        <w:tab w:val="left" w:pos="1977"/>
      </w:tabs>
      <w:spacing w:line="240" w:lineRule="auto"/>
      <w:rPr>
        <w:rFonts w:asciiTheme="minorHAnsi" w:hAnsiTheme="minorHAnsi" w:cs="Times New Roman"/>
        <w:sz w:val="24"/>
      </w:rPr>
    </w:pPr>
    <w:r w:rsidRPr="00D52787">
      <w:rPr>
        <w:rFonts w:cs="Tahoma"/>
        <w:b w:val="0"/>
        <w:noProof/>
      </w:rPr>
      <w:drawing>
        <wp:inline distT="0" distB="0" distL="0" distR="0" wp14:anchorId="53C044AD" wp14:editId="1217778B">
          <wp:extent cx="1447800" cy="647700"/>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581" cy="656102"/>
                  </a:xfrm>
                  <a:prstGeom prst="rect">
                    <a:avLst/>
                  </a:prstGeom>
                  <a:noFill/>
                  <a:ln>
                    <a:noFill/>
                  </a:ln>
                </pic:spPr>
              </pic:pic>
            </a:graphicData>
          </a:graphic>
        </wp:inline>
      </w:drawing>
    </w:r>
    <w:r>
      <w:rPr>
        <w:rFonts w:ascii="Calibri" w:hAnsi="Calibri"/>
        <w:noProof/>
        <w:szCs w:val="22"/>
      </w:rPr>
      <w:t xml:space="preserve">            </w:t>
    </w:r>
    <w:r>
      <w:rPr>
        <w:rFonts w:ascii="Calibri" w:hAnsi="Calibri"/>
        <w:noProof/>
        <w:szCs w:val="22"/>
      </w:rPr>
      <w:tab/>
    </w:r>
    <w:r>
      <w:rPr>
        <w:rFonts w:ascii="Calibri" w:hAnsi="Calibri"/>
        <w:noProof/>
        <w:szCs w:val="22"/>
      </w:rPr>
      <w:tab/>
    </w:r>
    <w:r>
      <w:rPr>
        <w:rFonts w:ascii="Calibri" w:hAnsi="Calibri"/>
        <w:noProof/>
        <w:szCs w:val="22"/>
      </w:rPr>
      <w:tab/>
    </w:r>
    <w:r>
      <w:rPr>
        <w:rFonts w:ascii="Calibri" w:hAnsi="Calibri"/>
        <w:noProof/>
        <w:szCs w:val="22"/>
      </w:rPr>
      <w:tab/>
    </w:r>
    <w:r>
      <w:rPr>
        <w:rFonts w:ascii="Calibri" w:hAnsi="Calibri"/>
        <w:noProof/>
        <w:szCs w:val="22"/>
      </w:rPr>
      <w:tab/>
    </w:r>
    <w:r>
      <w:rPr>
        <w:rFonts w:ascii="Calibri" w:hAnsi="Calibri"/>
        <w:noProof/>
        <w:szCs w:val="22"/>
      </w:rPr>
      <w:tab/>
    </w:r>
    <w:r>
      <w:rPr>
        <w:rFonts w:ascii="Calibri" w:hAnsi="Calibri"/>
        <w:noProof/>
        <w:szCs w:val="22"/>
      </w:rPr>
      <w:tab/>
      <w:t xml:space="preserve">       </w:t>
    </w:r>
    <w:r w:rsidRPr="00D52787">
      <w:rPr>
        <w:rFonts w:ascii="Calibri" w:hAnsi="Calibri"/>
        <w:noProof/>
        <w:szCs w:val="22"/>
      </w:rPr>
      <w:drawing>
        <wp:inline distT="0" distB="0" distL="0" distR="0" wp14:anchorId="2951C90B" wp14:editId="419A71A7">
          <wp:extent cx="610870" cy="619125"/>
          <wp:effectExtent l="0" t="0" r="0" b="9525"/>
          <wp:docPr id="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3246" cy="621533"/>
                  </a:xfrm>
                  <a:prstGeom prst="rect">
                    <a:avLst/>
                  </a:prstGeom>
                  <a:noFill/>
                  <a:ln>
                    <a:noFill/>
                  </a:ln>
                </pic:spPr>
              </pic:pic>
            </a:graphicData>
          </a:graphic>
        </wp:inline>
      </w:drawing>
    </w:r>
  </w:p>
  <w:p w:rsidR="00D52787" w:rsidRDefault="00D52787" w:rsidP="00D5278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AC7"/>
    <w:multiLevelType w:val="hybridMultilevel"/>
    <w:tmpl w:val="77461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C077BFC"/>
    <w:multiLevelType w:val="hybridMultilevel"/>
    <w:tmpl w:val="B13AB5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009A0"/>
    <w:multiLevelType w:val="hybridMultilevel"/>
    <w:tmpl w:val="787A57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440E5A"/>
    <w:multiLevelType w:val="multilevel"/>
    <w:tmpl w:val="CAFEFD34"/>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b/>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A13F8C"/>
    <w:multiLevelType w:val="hybridMultilevel"/>
    <w:tmpl w:val="787A57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8416F4"/>
    <w:multiLevelType w:val="hybridMultilevel"/>
    <w:tmpl w:val="772A13FE"/>
    <w:lvl w:ilvl="0" w:tplc="B4FA733E">
      <w:start w:val="4"/>
      <w:numFmt w:val="upp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15:restartNumberingAfterBreak="0">
    <w:nsid w:val="5FD66E7A"/>
    <w:multiLevelType w:val="hybridMultilevel"/>
    <w:tmpl w:val="DE2E1D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6F753AD1"/>
    <w:multiLevelType w:val="hybridMultilevel"/>
    <w:tmpl w:val="2C16A7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C"/>
    <w:rsid w:val="00016F51"/>
    <w:rsid w:val="00041DDE"/>
    <w:rsid w:val="00055FBF"/>
    <w:rsid w:val="0006130E"/>
    <w:rsid w:val="000829C4"/>
    <w:rsid w:val="000925D7"/>
    <w:rsid w:val="000C666D"/>
    <w:rsid w:val="000D5A43"/>
    <w:rsid w:val="000E3BD8"/>
    <w:rsid w:val="000F288A"/>
    <w:rsid w:val="00154D99"/>
    <w:rsid w:val="00170055"/>
    <w:rsid w:val="00172909"/>
    <w:rsid w:val="001915A5"/>
    <w:rsid w:val="001A7461"/>
    <w:rsid w:val="001D62A1"/>
    <w:rsid w:val="001E1DA5"/>
    <w:rsid w:val="00243A7C"/>
    <w:rsid w:val="0026201C"/>
    <w:rsid w:val="00273CAE"/>
    <w:rsid w:val="002C2DE9"/>
    <w:rsid w:val="002E3264"/>
    <w:rsid w:val="00300A4C"/>
    <w:rsid w:val="00314F2E"/>
    <w:rsid w:val="00322602"/>
    <w:rsid w:val="00352A3A"/>
    <w:rsid w:val="003652C5"/>
    <w:rsid w:val="00367FC9"/>
    <w:rsid w:val="00394F61"/>
    <w:rsid w:val="00395FDF"/>
    <w:rsid w:val="003A049A"/>
    <w:rsid w:val="003B5861"/>
    <w:rsid w:val="003B72F0"/>
    <w:rsid w:val="003C0E23"/>
    <w:rsid w:val="003D24A7"/>
    <w:rsid w:val="00414127"/>
    <w:rsid w:val="004219BA"/>
    <w:rsid w:val="00423F54"/>
    <w:rsid w:val="004268C8"/>
    <w:rsid w:val="00482D77"/>
    <w:rsid w:val="004B0868"/>
    <w:rsid w:val="004D01CF"/>
    <w:rsid w:val="004E3D7C"/>
    <w:rsid w:val="004E5C61"/>
    <w:rsid w:val="00515764"/>
    <w:rsid w:val="0051630C"/>
    <w:rsid w:val="005243B4"/>
    <w:rsid w:val="00547E15"/>
    <w:rsid w:val="00556ABA"/>
    <w:rsid w:val="0058289A"/>
    <w:rsid w:val="005832D0"/>
    <w:rsid w:val="0059088F"/>
    <w:rsid w:val="005A5D9B"/>
    <w:rsid w:val="005F76B1"/>
    <w:rsid w:val="0063410D"/>
    <w:rsid w:val="00636204"/>
    <w:rsid w:val="00681414"/>
    <w:rsid w:val="00696895"/>
    <w:rsid w:val="00697CB5"/>
    <w:rsid w:val="006A539E"/>
    <w:rsid w:val="006D030E"/>
    <w:rsid w:val="006E7F5A"/>
    <w:rsid w:val="00702374"/>
    <w:rsid w:val="007324FE"/>
    <w:rsid w:val="00744F67"/>
    <w:rsid w:val="007A11FC"/>
    <w:rsid w:val="007A3A54"/>
    <w:rsid w:val="007A65F8"/>
    <w:rsid w:val="007B6F5C"/>
    <w:rsid w:val="007C24C8"/>
    <w:rsid w:val="007D07D3"/>
    <w:rsid w:val="007E7F3F"/>
    <w:rsid w:val="007F2030"/>
    <w:rsid w:val="00804DD3"/>
    <w:rsid w:val="00821732"/>
    <w:rsid w:val="00857F45"/>
    <w:rsid w:val="0088110D"/>
    <w:rsid w:val="008B15EC"/>
    <w:rsid w:val="00933CD8"/>
    <w:rsid w:val="00981CE2"/>
    <w:rsid w:val="0099428D"/>
    <w:rsid w:val="009C3D1D"/>
    <w:rsid w:val="009D2817"/>
    <w:rsid w:val="009E7BE5"/>
    <w:rsid w:val="009F15E5"/>
    <w:rsid w:val="009F5B83"/>
    <w:rsid w:val="00A2508A"/>
    <w:rsid w:val="00A36935"/>
    <w:rsid w:val="00A52BFC"/>
    <w:rsid w:val="00A53B83"/>
    <w:rsid w:val="00A569C2"/>
    <w:rsid w:val="00AD1FCB"/>
    <w:rsid w:val="00AF005F"/>
    <w:rsid w:val="00B05869"/>
    <w:rsid w:val="00B278FD"/>
    <w:rsid w:val="00B40191"/>
    <w:rsid w:val="00B86CBF"/>
    <w:rsid w:val="00B97F6F"/>
    <w:rsid w:val="00BB21F0"/>
    <w:rsid w:val="00BC7E06"/>
    <w:rsid w:val="00BD5152"/>
    <w:rsid w:val="00BF5B05"/>
    <w:rsid w:val="00C06855"/>
    <w:rsid w:val="00C1141C"/>
    <w:rsid w:val="00C208FF"/>
    <w:rsid w:val="00C223DD"/>
    <w:rsid w:val="00C31BAE"/>
    <w:rsid w:val="00C57167"/>
    <w:rsid w:val="00C67D75"/>
    <w:rsid w:val="00C70F6B"/>
    <w:rsid w:val="00C71C03"/>
    <w:rsid w:val="00C72CA8"/>
    <w:rsid w:val="00C91120"/>
    <w:rsid w:val="00CA43B2"/>
    <w:rsid w:val="00CE5685"/>
    <w:rsid w:val="00CF1AAA"/>
    <w:rsid w:val="00D51DF5"/>
    <w:rsid w:val="00D52787"/>
    <w:rsid w:val="00D5677F"/>
    <w:rsid w:val="00D62604"/>
    <w:rsid w:val="00D74F1A"/>
    <w:rsid w:val="00D75DD0"/>
    <w:rsid w:val="00DE3501"/>
    <w:rsid w:val="00DF5A8D"/>
    <w:rsid w:val="00E1059A"/>
    <w:rsid w:val="00E1207C"/>
    <w:rsid w:val="00E81552"/>
    <w:rsid w:val="00E87379"/>
    <w:rsid w:val="00EF61F8"/>
    <w:rsid w:val="00F14ED3"/>
    <w:rsid w:val="00F15CC9"/>
    <w:rsid w:val="00F426B4"/>
    <w:rsid w:val="00F86818"/>
    <w:rsid w:val="00FB3BF4"/>
    <w:rsid w:val="00FD034B"/>
    <w:rsid w:val="00FE5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93959569-B0EF-4172-BDCD-E9494844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1FC"/>
    <w:rPr>
      <w:sz w:val="24"/>
      <w:szCs w:val="24"/>
    </w:rPr>
  </w:style>
  <w:style w:type="paragraph" w:styleId="3">
    <w:name w:val="heading 3"/>
    <w:basedOn w:val="a1"/>
    <w:next w:val="a0"/>
    <w:link w:val="3Char"/>
    <w:unhideWhenUsed/>
    <w:qFormat/>
    <w:rsid w:val="00C06855"/>
    <w:pPr>
      <w:numPr>
        <w:ilvl w:val="2"/>
        <w:numId w:val="2"/>
      </w:numPr>
      <w:spacing w:after="120"/>
      <w:jc w:val="both"/>
      <w:outlineLvl w:val="2"/>
    </w:pPr>
    <w:rPr>
      <w:rFonts w:ascii="Calibri" w:hAnsi="Calibri"/>
      <w:b/>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qFormat/>
    <w:rsid w:val="007A11FC"/>
    <w:pPr>
      <w:spacing w:line="360" w:lineRule="auto"/>
      <w:jc w:val="center"/>
    </w:pPr>
    <w:rPr>
      <w:rFonts w:ascii="Arial" w:hAnsi="Arial" w:cs="Arial"/>
      <w:b/>
      <w:bCs/>
      <w:sz w:val="22"/>
    </w:rPr>
  </w:style>
  <w:style w:type="table" w:styleId="a6">
    <w:name w:val="Table Grid"/>
    <w:basedOn w:val="a3"/>
    <w:rsid w:val="007A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A53B83"/>
    <w:rPr>
      <w:color w:val="0000FF"/>
      <w:u w:val="single"/>
    </w:rPr>
  </w:style>
  <w:style w:type="paragraph" w:styleId="a7">
    <w:name w:val="Body Text"/>
    <w:basedOn w:val="a0"/>
    <w:link w:val="Char"/>
    <w:semiHidden/>
    <w:unhideWhenUsed/>
    <w:rsid w:val="00933CD8"/>
    <w:pPr>
      <w:spacing w:after="120"/>
      <w:jc w:val="both"/>
    </w:pPr>
    <w:rPr>
      <w:rFonts w:ascii="Arial" w:hAnsi="Arial"/>
      <w:spacing w:val="8"/>
      <w:sz w:val="22"/>
      <w:szCs w:val="20"/>
    </w:rPr>
  </w:style>
  <w:style w:type="character" w:customStyle="1" w:styleId="Char">
    <w:name w:val="Σώμα κειμένου Char"/>
    <w:link w:val="a7"/>
    <w:semiHidden/>
    <w:rsid w:val="00933CD8"/>
    <w:rPr>
      <w:rFonts w:ascii="Arial" w:hAnsi="Arial"/>
      <w:spacing w:val="8"/>
      <w:sz w:val="22"/>
    </w:rPr>
  </w:style>
  <w:style w:type="paragraph" w:styleId="a8">
    <w:name w:val="header"/>
    <w:basedOn w:val="a0"/>
    <w:link w:val="Char0"/>
    <w:uiPriority w:val="99"/>
    <w:unhideWhenUsed/>
    <w:rsid w:val="00D52787"/>
    <w:pPr>
      <w:tabs>
        <w:tab w:val="center" w:pos="4153"/>
        <w:tab w:val="right" w:pos="8306"/>
      </w:tabs>
    </w:pPr>
  </w:style>
  <w:style w:type="character" w:customStyle="1" w:styleId="Char0">
    <w:name w:val="Κεφαλίδα Char"/>
    <w:basedOn w:val="a2"/>
    <w:link w:val="a8"/>
    <w:uiPriority w:val="99"/>
    <w:rsid w:val="00D52787"/>
    <w:rPr>
      <w:sz w:val="24"/>
      <w:szCs w:val="24"/>
    </w:rPr>
  </w:style>
  <w:style w:type="paragraph" w:styleId="a9">
    <w:name w:val="footer"/>
    <w:aliases w:val="ft"/>
    <w:basedOn w:val="a0"/>
    <w:link w:val="Char1"/>
    <w:uiPriority w:val="99"/>
    <w:unhideWhenUsed/>
    <w:rsid w:val="00D52787"/>
    <w:pPr>
      <w:tabs>
        <w:tab w:val="center" w:pos="4153"/>
        <w:tab w:val="right" w:pos="8306"/>
      </w:tabs>
    </w:pPr>
  </w:style>
  <w:style w:type="character" w:customStyle="1" w:styleId="Char1">
    <w:name w:val="Υποσέλιδο Char"/>
    <w:aliases w:val="ft Char"/>
    <w:basedOn w:val="a2"/>
    <w:link w:val="a9"/>
    <w:uiPriority w:val="99"/>
    <w:rsid w:val="00D52787"/>
    <w:rPr>
      <w:sz w:val="24"/>
      <w:szCs w:val="24"/>
    </w:rPr>
  </w:style>
  <w:style w:type="paragraph" w:styleId="aa">
    <w:name w:val="Balloon Text"/>
    <w:basedOn w:val="a0"/>
    <w:link w:val="Char2"/>
    <w:uiPriority w:val="99"/>
    <w:semiHidden/>
    <w:unhideWhenUsed/>
    <w:rsid w:val="00B278FD"/>
    <w:rPr>
      <w:rFonts w:ascii="Segoe UI" w:hAnsi="Segoe UI" w:cs="Segoe UI"/>
      <w:sz w:val="18"/>
      <w:szCs w:val="18"/>
    </w:rPr>
  </w:style>
  <w:style w:type="character" w:customStyle="1" w:styleId="Char2">
    <w:name w:val="Κείμενο πλαισίου Char"/>
    <w:basedOn w:val="a2"/>
    <w:link w:val="aa"/>
    <w:uiPriority w:val="99"/>
    <w:semiHidden/>
    <w:rsid w:val="00B278FD"/>
    <w:rPr>
      <w:rFonts w:ascii="Segoe UI" w:hAnsi="Segoe UI" w:cs="Segoe UI"/>
      <w:sz w:val="18"/>
      <w:szCs w:val="18"/>
    </w:rPr>
  </w:style>
  <w:style w:type="character" w:customStyle="1" w:styleId="3Char">
    <w:name w:val="Επικεφαλίδα 3 Char"/>
    <w:basedOn w:val="a2"/>
    <w:link w:val="3"/>
    <w:rsid w:val="00C06855"/>
    <w:rPr>
      <w:rFonts w:ascii="Calibri" w:hAnsi="Calibri"/>
      <w:b/>
      <w:sz w:val="24"/>
      <w:szCs w:val="24"/>
      <w:lang w:eastAsia="en-US"/>
    </w:rPr>
  </w:style>
  <w:style w:type="paragraph" w:customStyle="1" w:styleId="a">
    <w:name w:val="διψηφιο"/>
    <w:basedOn w:val="a1"/>
    <w:qFormat/>
    <w:rsid w:val="00C06855"/>
    <w:pPr>
      <w:numPr>
        <w:ilvl w:val="1"/>
        <w:numId w:val="2"/>
      </w:numPr>
      <w:tabs>
        <w:tab w:val="num" w:pos="360"/>
      </w:tabs>
      <w:spacing w:after="120"/>
      <w:ind w:left="720" w:firstLine="0"/>
      <w:jc w:val="both"/>
    </w:pPr>
    <w:rPr>
      <w:rFonts w:ascii="Calibri" w:hAnsi="Calibri"/>
      <w:b/>
      <w:color w:val="5B9BD5"/>
      <w:lang w:eastAsia="en-US"/>
    </w:rPr>
  </w:style>
  <w:style w:type="paragraph" w:styleId="a1">
    <w:name w:val="List Paragraph"/>
    <w:basedOn w:val="a0"/>
    <w:uiPriority w:val="34"/>
    <w:qFormat/>
    <w:rsid w:val="00C0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746">
      <w:bodyDiv w:val="1"/>
      <w:marLeft w:val="0"/>
      <w:marRight w:val="0"/>
      <w:marTop w:val="0"/>
      <w:marBottom w:val="0"/>
      <w:divBdr>
        <w:top w:val="none" w:sz="0" w:space="0" w:color="auto"/>
        <w:left w:val="none" w:sz="0" w:space="0" w:color="auto"/>
        <w:bottom w:val="none" w:sz="0" w:space="0" w:color="auto"/>
        <w:right w:val="none" w:sz="0" w:space="0" w:color="auto"/>
      </w:divBdr>
    </w:div>
    <w:div w:id="120540331">
      <w:bodyDiv w:val="1"/>
      <w:marLeft w:val="0"/>
      <w:marRight w:val="0"/>
      <w:marTop w:val="0"/>
      <w:marBottom w:val="0"/>
      <w:divBdr>
        <w:top w:val="none" w:sz="0" w:space="0" w:color="auto"/>
        <w:left w:val="none" w:sz="0" w:space="0" w:color="auto"/>
        <w:bottom w:val="none" w:sz="0" w:space="0" w:color="auto"/>
        <w:right w:val="none" w:sz="0" w:space="0" w:color="auto"/>
      </w:divBdr>
    </w:div>
    <w:div w:id="160782951">
      <w:bodyDiv w:val="1"/>
      <w:marLeft w:val="0"/>
      <w:marRight w:val="0"/>
      <w:marTop w:val="0"/>
      <w:marBottom w:val="0"/>
      <w:divBdr>
        <w:top w:val="none" w:sz="0" w:space="0" w:color="auto"/>
        <w:left w:val="none" w:sz="0" w:space="0" w:color="auto"/>
        <w:bottom w:val="none" w:sz="0" w:space="0" w:color="auto"/>
        <w:right w:val="none" w:sz="0" w:space="0" w:color="auto"/>
      </w:divBdr>
    </w:div>
    <w:div w:id="208498189">
      <w:bodyDiv w:val="1"/>
      <w:marLeft w:val="0"/>
      <w:marRight w:val="0"/>
      <w:marTop w:val="0"/>
      <w:marBottom w:val="0"/>
      <w:divBdr>
        <w:top w:val="none" w:sz="0" w:space="0" w:color="auto"/>
        <w:left w:val="none" w:sz="0" w:space="0" w:color="auto"/>
        <w:bottom w:val="none" w:sz="0" w:space="0" w:color="auto"/>
        <w:right w:val="none" w:sz="0" w:space="0" w:color="auto"/>
      </w:divBdr>
    </w:div>
    <w:div w:id="214048816">
      <w:bodyDiv w:val="1"/>
      <w:marLeft w:val="0"/>
      <w:marRight w:val="0"/>
      <w:marTop w:val="0"/>
      <w:marBottom w:val="0"/>
      <w:divBdr>
        <w:top w:val="none" w:sz="0" w:space="0" w:color="auto"/>
        <w:left w:val="none" w:sz="0" w:space="0" w:color="auto"/>
        <w:bottom w:val="none" w:sz="0" w:space="0" w:color="auto"/>
        <w:right w:val="none" w:sz="0" w:space="0" w:color="auto"/>
      </w:divBdr>
    </w:div>
    <w:div w:id="273443705">
      <w:bodyDiv w:val="1"/>
      <w:marLeft w:val="0"/>
      <w:marRight w:val="0"/>
      <w:marTop w:val="0"/>
      <w:marBottom w:val="0"/>
      <w:divBdr>
        <w:top w:val="none" w:sz="0" w:space="0" w:color="auto"/>
        <w:left w:val="none" w:sz="0" w:space="0" w:color="auto"/>
        <w:bottom w:val="none" w:sz="0" w:space="0" w:color="auto"/>
        <w:right w:val="none" w:sz="0" w:space="0" w:color="auto"/>
      </w:divBdr>
    </w:div>
    <w:div w:id="278994760">
      <w:bodyDiv w:val="1"/>
      <w:marLeft w:val="0"/>
      <w:marRight w:val="0"/>
      <w:marTop w:val="0"/>
      <w:marBottom w:val="0"/>
      <w:divBdr>
        <w:top w:val="none" w:sz="0" w:space="0" w:color="auto"/>
        <w:left w:val="none" w:sz="0" w:space="0" w:color="auto"/>
        <w:bottom w:val="none" w:sz="0" w:space="0" w:color="auto"/>
        <w:right w:val="none" w:sz="0" w:space="0" w:color="auto"/>
      </w:divBdr>
    </w:div>
    <w:div w:id="453405317">
      <w:bodyDiv w:val="1"/>
      <w:marLeft w:val="0"/>
      <w:marRight w:val="0"/>
      <w:marTop w:val="0"/>
      <w:marBottom w:val="0"/>
      <w:divBdr>
        <w:top w:val="none" w:sz="0" w:space="0" w:color="auto"/>
        <w:left w:val="none" w:sz="0" w:space="0" w:color="auto"/>
        <w:bottom w:val="none" w:sz="0" w:space="0" w:color="auto"/>
        <w:right w:val="none" w:sz="0" w:space="0" w:color="auto"/>
      </w:divBdr>
    </w:div>
    <w:div w:id="537545106">
      <w:bodyDiv w:val="1"/>
      <w:marLeft w:val="0"/>
      <w:marRight w:val="0"/>
      <w:marTop w:val="0"/>
      <w:marBottom w:val="0"/>
      <w:divBdr>
        <w:top w:val="none" w:sz="0" w:space="0" w:color="auto"/>
        <w:left w:val="none" w:sz="0" w:space="0" w:color="auto"/>
        <w:bottom w:val="none" w:sz="0" w:space="0" w:color="auto"/>
        <w:right w:val="none" w:sz="0" w:space="0" w:color="auto"/>
      </w:divBdr>
    </w:div>
    <w:div w:id="548807054">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
    <w:div w:id="948004427">
      <w:bodyDiv w:val="1"/>
      <w:marLeft w:val="0"/>
      <w:marRight w:val="0"/>
      <w:marTop w:val="0"/>
      <w:marBottom w:val="0"/>
      <w:divBdr>
        <w:top w:val="none" w:sz="0" w:space="0" w:color="auto"/>
        <w:left w:val="none" w:sz="0" w:space="0" w:color="auto"/>
        <w:bottom w:val="none" w:sz="0" w:space="0" w:color="auto"/>
        <w:right w:val="none" w:sz="0" w:space="0" w:color="auto"/>
      </w:divBdr>
    </w:div>
    <w:div w:id="980500431">
      <w:bodyDiv w:val="1"/>
      <w:marLeft w:val="0"/>
      <w:marRight w:val="0"/>
      <w:marTop w:val="0"/>
      <w:marBottom w:val="0"/>
      <w:divBdr>
        <w:top w:val="none" w:sz="0" w:space="0" w:color="auto"/>
        <w:left w:val="none" w:sz="0" w:space="0" w:color="auto"/>
        <w:bottom w:val="none" w:sz="0" w:space="0" w:color="auto"/>
        <w:right w:val="none" w:sz="0" w:space="0" w:color="auto"/>
      </w:divBdr>
    </w:div>
    <w:div w:id="1025980544">
      <w:bodyDiv w:val="1"/>
      <w:marLeft w:val="0"/>
      <w:marRight w:val="0"/>
      <w:marTop w:val="0"/>
      <w:marBottom w:val="0"/>
      <w:divBdr>
        <w:top w:val="none" w:sz="0" w:space="0" w:color="auto"/>
        <w:left w:val="none" w:sz="0" w:space="0" w:color="auto"/>
        <w:bottom w:val="none" w:sz="0" w:space="0" w:color="auto"/>
        <w:right w:val="none" w:sz="0" w:space="0" w:color="auto"/>
      </w:divBdr>
    </w:div>
    <w:div w:id="1072703955">
      <w:bodyDiv w:val="1"/>
      <w:marLeft w:val="0"/>
      <w:marRight w:val="0"/>
      <w:marTop w:val="0"/>
      <w:marBottom w:val="0"/>
      <w:divBdr>
        <w:top w:val="none" w:sz="0" w:space="0" w:color="auto"/>
        <w:left w:val="none" w:sz="0" w:space="0" w:color="auto"/>
        <w:bottom w:val="none" w:sz="0" w:space="0" w:color="auto"/>
        <w:right w:val="none" w:sz="0" w:space="0" w:color="auto"/>
      </w:divBdr>
    </w:div>
    <w:div w:id="1195071551">
      <w:bodyDiv w:val="1"/>
      <w:marLeft w:val="0"/>
      <w:marRight w:val="0"/>
      <w:marTop w:val="0"/>
      <w:marBottom w:val="0"/>
      <w:divBdr>
        <w:top w:val="none" w:sz="0" w:space="0" w:color="auto"/>
        <w:left w:val="none" w:sz="0" w:space="0" w:color="auto"/>
        <w:bottom w:val="none" w:sz="0" w:space="0" w:color="auto"/>
        <w:right w:val="none" w:sz="0" w:space="0" w:color="auto"/>
      </w:divBdr>
    </w:div>
    <w:div w:id="1230068662">
      <w:bodyDiv w:val="1"/>
      <w:marLeft w:val="0"/>
      <w:marRight w:val="0"/>
      <w:marTop w:val="0"/>
      <w:marBottom w:val="0"/>
      <w:divBdr>
        <w:top w:val="none" w:sz="0" w:space="0" w:color="auto"/>
        <w:left w:val="none" w:sz="0" w:space="0" w:color="auto"/>
        <w:bottom w:val="none" w:sz="0" w:space="0" w:color="auto"/>
        <w:right w:val="none" w:sz="0" w:space="0" w:color="auto"/>
      </w:divBdr>
    </w:div>
    <w:div w:id="1309364264">
      <w:bodyDiv w:val="1"/>
      <w:marLeft w:val="0"/>
      <w:marRight w:val="0"/>
      <w:marTop w:val="0"/>
      <w:marBottom w:val="0"/>
      <w:divBdr>
        <w:top w:val="none" w:sz="0" w:space="0" w:color="auto"/>
        <w:left w:val="none" w:sz="0" w:space="0" w:color="auto"/>
        <w:bottom w:val="none" w:sz="0" w:space="0" w:color="auto"/>
        <w:right w:val="none" w:sz="0" w:space="0" w:color="auto"/>
      </w:divBdr>
    </w:div>
    <w:div w:id="1340694296">
      <w:bodyDiv w:val="1"/>
      <w:marLeft w:val="0"/>
      <w:marRight w:val="0"/>
      <w:marTop w:val="0"/>
      <w:marBottom w:val="0"/>
      <w:divBdr>
        <w:top w:val="none" w:sz="0" w:space="0" w:color="auto"/>
        <w:left w:val="none" w:sz="0" w:space="0" w:color="auto"/>
        <w:bottom w:val="none" w:sz="0" w:space="0" w:color="auto"/>
        <w:right w:val="none" w:sz="0" w:space="0" w:color="auto"/>
      </w:divBdr>
    </w:div>
    <w:div w:id="1432505763">
      <w:bodyDiv w:val="1"/>
      <w:marLeft w:val="0"/>
      <w:marRight w:val="0"/>
      <w:marTop w:val="0"/>
      <w:marBottom w:val="0"/>
      <w:divBdr>
        <w:top w:val="none" w:sz="0" w:space="0" w:color="auto"/>
        <w:left w:val="none" w:sz="0" w:space="0" w:color="auto"/>
        <w:bottom w:val="none" w:sz="0" w:space="0" w:color="auto"/>
        <w:right w:val="none" w:sz="0" w:space="0" w:color="auto"/>
      </w:divBdr>
    </w:div>
    <w:div w:id="1476095680">
      <w:bodyDiv w:val="1"/>
      <w:marLeft w:val="0"/>
      <w:marRight w:val="0"/>
      <w:marTop w:val="0"/>
      <w:marBottom w:val="0"/>
      <w:divBdr>
        <w:top w:val="none" w:sz="0" w:space="0" w:color="auto"/>
        <w:left w:val="none" w:sz="0" w:space="0" w:color="auto"/>
        <w:bottom w:val="none" w:sz="0" w:space="0" w:color="auto"/>
        <w:right w:val="none" w:sz="0" w:space="0" w:color="auto"/>
      </w:divBdr>
    </w:div>
    <w:div w:id="1482428758">
      <w:bodyDiv w:val="1"/>
      <w:marLeft w:val="0"/>
      <w:marRight w:val="0"/>
      <w:marTop w:val="0"/>
      <w:marBottom w:val="0"/>
      <w:divBdr>
        <w:top w:val="none" w:sz="0" w:space="0" w:color="auto"/>
        <w:left w:val="none" w:sz="0" w:space="0" w:color="auto"/>
        <w:bottom w:val="none" w:sz="0" w:space="0" w:color="auto"/>
        <w:right w:val="none" w:sz="0" w:space="0" w:color="auto"/>
      </w:divBdr>
    </w:div>
    <w:div w:id="1765301519">
      <w:bodyDiv w:val="1"/>
      <w:marLeft w:val="0"/>
      <w:marRight w:val="0"/>
      <w:marTop w:val="0"/>
      <w:marBottom w:val="0"/>
      <w:divBdr>
        <w:top w:val="none" w:sz="0" w:space="0" w:color="auto"/>
        <w:left w:val="none" w:sz="0" w:space="0" w:color="auto"/>
        <w:bottom w:val="none" w:sz="0" w:space="0" w:color="auto"/>
        <w:right w:val="none" w:sz="0" w:space="0" w:color="auto"/>
      </w:divBdr>
    </w:div>
    <w:div w:id="1896817873">
      <w:bodyDiv w:val="1"/>
      <w:marLeft w:val="0"/>
      <w:marRight w:val="0"/>
      <w:marTop w:val="0"/>
      <w:marBottom w:val="0"/>
      <w:divBdr>
        <w:top w:val="none" w:sz="0" w:space="0" w:color="auto"/>
        <w:left w:val="none" w:sz="0" w:space="0" w:color="auto"/>
        <w:bottom w:val="none" w:sz="0" w:space="0" w:color="auto"/>
        <w:right w:val="none" w:sz="0" w:space="0" w:color="auto"/>
      </w:divBdr>
    </w:div>
    <w:div w:id="1942033112">
      <w:bodyDiv w:val="1"/>
      <w:marLeft w:val="0"/>
      <w:marRight w:val="0"/>
      <w:marTop w:val="0"/>
      <w:marBottom w:val="0"/>
      <w:divBdr>
        <w:top w:val="none" w:sz="0" w:space="0" w:color="auto"/>
        <w:left w:val="none" w:sz="0" w:space="0" w:color="auto"/>
        <w:bottom w:val="none" w:sz="0" w:space="0" w:color="auto"/>
        <w:right w:val="none" w:sz="0" w:space="0" w:color="auto"/>
      </w:divBdr>
    </w:div>
    <w:div w:id="21198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1549</Words>
  <Characters>9190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lpstr>
    </vt:vector>
  </TitlesOfParts>
  <Company>AN.H. AAE OTA</Company>
  <LinksUpToDate>false</LinksUpToDate>
  <CharactersWithSpaces>10718</CharactersWithSpaces>
  <SharedDoc>false</SharedDoc>
  <HLinks>
    <vt:vector size="6" baseType="variant">
      <vt:variant>
        <vt:i4>1572871</vt:i4>
      </vt:variant>
      <vt:variant>
        <vt:i4>0</vt:i4>
      </vt:variant>
      <vt:variant>
        <vt:i4>0</vt:i4>
      </vt:variant>
      <vt:variant>
        <vt:i4>5</vt:i4>
      </vt:variant>
      <vt:variant>
        <vt:lpwstr>http://www.anher.gr/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tavladoraki</dc:creator>
  <cp:keywords/>
  <dc:description/>
  <cp:lastModifiedBy>ΑΜΑΛΙΑ ΤΑΒΛΑΔΩΡΑΚΗ</cp:lastModifiedBy>
  <cp:revision>49</cp:revision>
  <cp:lastPrinted>2018-04-12T05:39:00Z</cp:lastPrinted>
  <dcterms:created xsi:type="dcterms:W3CDTF">2018-04-13T10:15:00Z</dcterms:created>
  <dcterms:modified xsi:type="dcterms:W3CDTF">2019-05-03T13:33:00Z</dcterms:modified>
</cp:coreProperties>
</file>